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2F19B" w14:textId="4C546884" w:rsidR="003E1C2D" w:rsidRDefault="00F30C38" w:rsidP="00FD29B2">
      <w:pPr>
        <w:jc w:val="center"/>
        <w:rPr>
          <w:b/>
        </w:rPr>
      </w:pPr>
      <w:r>
        <w:rPr>
          <w:b/>
        </w:rPr>
        <w:t xml:space="preserve">New </w:t>
      </w:r>
      <w:r w:rsidR="00A12D77" w:rsidRPr="0072518C">
        <w:rPr>
          <w:b/>
        </w:rPr>
        <w:t>Title</w:t>
      </w:r>
      <w:r w:rsidR="00B21D6E">
        <w:rPr>
          <w:b/>
        </w:rPr>
        <w:t xml:space="preserve"> / </w:t>
      </w:r>
      <w:r w:rsidR="003E1C2D">
        <w:rPr>
          <w:b/>
        </w:rPr>
        <w:t xml:space="preserve">October </w:t>
      </w:r>
      <w:r w:rsidR="00B21D6E">
        <w:rPr>
          <w:b/>
        </w:rPr>
        <w:t>2016</w:t>
      </w:r>
      <w:r w:rsidR="00A12D77" w:rsidRPr="0072518C">
        <w:rPr>
          <w:b/>
        </w:rPr>
        <w:t>:</w:t>
      </w:r>
    </w:p>
    <w:p w14:paraId="2ACA0EC5" w14:textId="77777777" w:rsidR="003E1C2D" w:rsidRDefault="005673D2" w:rsidP="003E1C2D">
      <w:pPr>
        <w:jc w:val="center"/>
        <w:rPr>
          <w:b/>
        </w:rPr>
      </w:pPr>
      <w:bookmarkStart w:id="0" w:name="_GoBack"/>
      <w:r>
        <w:rPr>
          <w:b/>
        </w:rPr>
        <w:t xml:space="preserve">Developing &amp; Using Cross-Modal Ethnographic Narrative Document Analysis </w:t>
      </w:r>
    </w:p>
    <w:p w14:paraId="51BC1259" w14:textId="77777777" w:rsidR="00FD29B2" w:rsidRDefault="005673D2" w:rsidP="003E1C2D">
      <w:pPr>
        <w:jc w:val="center"/>
        <w:rPr>
          <w:b/>
        </w:rPr>
      </w:pPr>
      <w:r>
        <w:rPr>
          <w:b/>
        </w:rPr>
        <w:t>(Cro-MENDA)</w:t>
      </w:r>
      <w:r w:rsidR="00654C98">
        <w:rPr>
          <w:b/>
        </w:rPr>
        <w:t xml:space="preserve"> to Study Editorial Cartoons </w:t>
      </w:r>
    </w:p>
    <w:p w14:paraId="4D09E179" w14:textId="3718C543" w:rsidR="00A12D77" w:rsidRDefault="00654C98" w:rsidP="003E1C2D">
      <w:pPr>
        <w:jc w:val="center"/>
        <w:rPr>
          <w:b/>
        </w:rPr>
      </w:pPr>
      <w:r>
        <w:rPr>
          <w:b/>
        </w:rPr>
        <w:t xml:space="preserve">(and </w:t>
      </w:r>
      <w:r w:rsidR="00FD29B2">
        <w:rPr>
          <w:b/>
        </w:rPr>
        <w:t>implications for its use with other cross-modal t</w:t>
      </w:r>
      <w:r>
        <w:rPr>
          <w:b/>
        </w:rPr>
        <w:t>exts)</w:t>
      </w:r>
    </w:p>
    <w:bookmarkEnd w:id="0"/>
    <w:p w14:paraId="1FFDC420" w14:textId="09FAD292" w:rsidR="008C2B2A" w:rsidRPr="008C2B2A" w:rsidRDefault="005C7CBD">
      <w:pPr>
        <w:rPr>
          <w:sz w:val="20"/>
          <w:szCs w:val="20"/>
        </w:rPr>
      </w:pPr>
      <w:r w:rsidRPr="00F466D7">
        <w:rPr>
          <w:sz w:val="20"/>
          <w:szCs w:val="20"/>
        </w:rPr>
        <w:t>(</w:t>
      </w:r>
      <w:r w:rsidR="00F30C38" w:rsidRPr="00F466D7">
        <w:rPr>
          <w:i/>
          <w:sz w:val="20"/>
          <w:szCs w:val="20"/>
        </w:rPr>
        <w:t>The original</w:t>
      </w:r>
      <w:r w:rsidR="00A83015" w:rsidRPr="00F466D7">
        <w:rPr>
          <w:i/>
          <w:sz w:val="20"/>
          <w:szCs w:val="20"/>
        </w:rPr>
        <w:t>, 2013,</w:t>
      </w:r>
      <w:r w:rsidR="00F30C38" w:rsidRPr="00F466D7">
        <w:rPr>
          <w:i/>
          <w:sz w:val="20"/>
          <w:szCs w:val="20"/>
        </w:rPr>
        <w:t xml:space="preserve"> title</w:t>
      </w:r>
      <w:r w:rsidR="00F30C38" w:rsidRPr="00F466D7">
        <w:rPr>
          <w:sz w:val="20"/>
          <w:szCs w:val="20"/>
        </w:rPr>
        <w:t xml:space="preserve"> was “Editorial Cartoons in Two Early-Twentieth-Century Newspapers as Mentor Texts for a young Walter Elias Disney: An Ethnographic Content Analysis.” I eliminated the last part of the title</w:t>
      </w:r>
      <w:r w:rsidR="00A83015" w:rsidRPr="00F466D7">
        <w:rPr>
          <w:sz w:val="20"/>
          <w:szCs w:val="20"/>
        </w:rPr>
        <w:t xml:space="preserve"> in 2014</w:t>
      </w:r>
      <w:r w:rsidR="00F30C38" w:rsidRPr="00F466D7">
        <w:rPr>
          <w:sz w:val="20"/>
          <w:szCs w:val="20"/>
        </w:rPr>
        <w:t xml:space="preserve"> because ECA is only a part of the study and analysis.</w:t>
      </w:r>
      <w:r w:rsidR="00A83015" w:rsidRPr="00F466D7">
        <w:rPr>
          <w:sz w:val="20"/>
          <w:szCs w:val="20"/>
        </w:rPr>
        <w:t xml:space="preserve"> </w:t>
      </w:r>
      <w:r w:rsidR="003E1C2D" w:rsidRPr="00F466D7">
        <w:rPr>
          <w:i/>
          <w:sz w:val="20"/>
          <w:szCs w:val="20"/>
        </w:rPr>
        <w:t>The February 2016 title</w:t>
      </w:r>
      <w:r w:rsidR="003E1C2D" w:rsidRPr="00F466D7">
        <w:rPr>
          <w:sz w:val="20"/>
          <w:szCs w:val="20"/>
        </w:rPr>
        <w:t xml:space="preserve">, Editorial Cartoons in Two Early-Twentieth-Century Newspapers as Mentor Texts for a Young Walter Elias Disney: Developing &amp; Using Cross-Modal Ethnographic Narrative Document, Analysis (Cro-MENDA), reflected my attempt to combine the two foci – an attempt that proved unwieldy and unrealistic given my time frame. </w:t>
      </w:r>
      <w:r w:rsidR="00A83015" w:rsidRPr="00F466D7">
        <w:rPr>
          <w:i/>
          <w:sz w:val="20"/>
          <w:szCs w:val="20"/>
        </w:rPr>
        <w:t xml:space="preserve">The </w:t>
      </w:r>
      <w:r w:rsidR="003E1C2D" w:rsidRPr="00F466D7">
        <w:rPr>
          <w:i/>
          <w:sz w:val="20"/>
          <w:szCs w:val="20"/>
        </w:rPr>
        <w:t>October</w:t>
      </w:r>
      <w:r w:rsidR="00654C98" w:rsidRPr="00F466D7">
        <w:rPr>
          <w:i/>
          <w:sz w:val="20"/>
          <w:szCs w:val="20"/>
        </w:rPr>
        <w:t xml:space="preserve"> 2016</w:t>
      </w:r>
      <w:r w:rsidR="00A83015" w:rsidRPr="00F466D7">
        <w:rPr>
          <w:i/>
          <w:sz w:val="20"/>
          <w:szCs w:val="20"/>
        </w:rPr>
        <w:t xml:space="preserve"> title</w:t>
      </w:r>
      <w:r w:rsidR="00A83015" w:rsidRPr="00F466D7">
        <w:rPr>
          <w:sz w:val="20"/>
          <w:szCs w:val="20"/>
        </w:rPr>
        <w:t xml:space="preserve"> reflects the development of a new methodology for studying cross-modal texts.</w:t>
      </w:r>
      <w:r w:rsidR="00F30C38" w:rsidRPr="00F466D7">
        <w:rPr>
          <w:sz w:val="20"/>
          <w:szCs w:val="20"/>
        </w:rPr>
        <w:t>)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58"/>
        <w:gridCol w:w="9018"/>
      </w:tblGrid>
      <w:tr w:rsidR="00F42B50" w:rsidRPr="00F466D7" w14:paraId="443869E1" w14:textId="77777777" w:rsidTr="008C2B2A">
        <w:tc>
          <w:tcPr>
            <w:tcW w:w="9576" w:type="dxa"/>
            <w:gridSpan w:val="2"/>
            <w:shd w:val="clear" w:color="auto" w:fill="F2DBDB" w:themeFill="accent2" w:themeFillTint="33"/>
          </w:tcPr>
          <w:p w14:paraId="500E0090" w14:textId="512D9644" w:rsidR="00F42B50" w:rsidRPr="008C2B2A" w:rsidRDefault="001473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F42B50" w:rsidRPr="008C2B2A">
              <w:rPr>
                <w:b/>
                <w:sz w:val="22"/>
                <w:szCs w:val="22"/>
              </w:rPr>
              <w:t>Introduction</w:t>
            </w:r>
          </w:p>
        </w:tc>
      </w:tr>
      <w:tr w:rsidR="00F42B50" w:rsidRPr="00F466D7" w14:paraId="7BDE0F30" w14:textId="77777777" w:rsidTr="00F42B50">
        <w:tc>
          <w:tcPr>
            <w:tcW w:w="9576" w:type="dxa"/>
            <w:gridSpan w:val="2"/>
            <w:shd w:val="clear" w:color="auto" w:fill="F2F2F2" w:themeFill="background1" w:themeFillShade="F2"/>
          </w:tcPr>
          <w:p w14:paraId="6846EF2D" w14:textId="3F5BD2BB" w:rsidR="009B3992" w:rsidRPr="00F466D7" w:rsidRDefault="003E1C2D" w:rsidP="009B3992">
            <w:pPr>
              <w:rPr>
                <w:b/>
                <w:sz w:val="22"/>
                <w:szCs w:val="22"/>
              </w:rPr>
            </w:pPr>
            <w:r w:rsidRPr="00F466D7">
              <w:rPr>
                <w:b/>
                <w:sz w:val="22"/>
                <w:szCs w:val="22"/>
              </w:rPr>
              <w:t>How the topic emerged from other work</w:t>
            </w:r>
            <w:r w:rsidR="009B3992" w:rsidRPr="00F466D7">
              <w:rPr>
                <w:b/>
                <w:sz w:val="22"/>
                <w:szCs w:val="22"/>
              </w:rPr>
              <w:t xml:space="preserve"> and the questions guiding my research became:</w:t>
            </w:r>
            <w:r w:rsidR="009B3992" w:rsidRPr="00F466D7">
              <w:rPr>
                <w:i/>
                <w:sz w:val="22"/>
                <w:szCs w:val="22"/>
              </w:rPr>
              <w:t xml:space="preserve"> </w:t>
            </w:r>
            <w:r w:rsidR="009B3992" w:rsidRPr="00F466D7">
              <w:rPr>
                <w:sz w:val="22"/>
                <w:szCs w:val="22"/>
              </w:rPr>
              <w:t xml:space="preserve">How do I know that what I say I think I know about a multi- or cross-modal text is valid? How can I systematically collect the information in a multi- or cross-modal narrative text without losing sight of the narrative? More specificially, how I can know what </w:t>
            </w:r>
            <w:r w:rsidR="009B3992" w:rsidRPr="00F466D7">
              <w:rPr>
                <w:b/>
                <w:sz w:val="22"/>
                <w:szCs w:val="22"/>
                <w:highlight w:val="yellow"/>
              </w:rPr>
              <w:t>topics and themes the editorial cartoons presented, through what frames, and conveying what discourses</w:t>
            </w:r>
            <w:r w:rsidR="009B3992" w:rsidRPr="00F466D7">
              <w:rPr>
                <w:sz w:val="22"/>
                <w:szCs w:val="22"/>
              </w:rPr>
              <w:t xml:space="preserve">?* </w:t>
            </w:r>
          </w:p>
          <w:p w14:paraId="03C01B25" w14:textId="04527D40" w:rsidR="009B3992" w:rsidRPr="00C04705" w:rsidRDefault="009B3992" w:rsidP="00C04705">
            <w:pPr>
              <w:rPr>
                <w:b/>
                <w:sz w:val="22"/>
                <w:szCs w:val="22"/>
              </w:rPr>
            </w:pPr>
            <w:r w:rsidRPr="00C04705">
              <w:rPr>
                <w:b/>
                <w:i/>
                <w:sz w:val="22"/>
                <w:szCs w:val="22"/>
              </w:rPr>
              <w:t xml:space="preserve">* </w:t>
            </w:r>
            <w:r w:rsidRPr="00C04705">
              <w:rPr>
                <w:i/>
                <w:sz w:val="20"/>
                <w:szCs w:val="20"/>
              </w:rPr>
              <w:t>The purpose of Altheide and Schneider’s (2012) ethnographic content analysis is to study themes, frames, and discourses reported via various formats, including cartoons.</w:t>
            </w:r>
          </w:p>
        </w:tc>
      </w:tr>
      <w:tr w:rsidR="00F42B50" w:rsidRPr="00F466D7" w14:paraId="5376019A" w14:textId="77777777" w:rsidTr="00F42B50">
        <w:tc>
          <w:tcPr>
            <w:tcW w:w="9576" w:type="dxa"/>
            <w:gridSpan w:val="2"/>
            <w:shd w:val="clear" w:color="auto" w:fill="F2F2F2" w:themeFill="background1" w:themeFillShade="F2"/>
          </w:tcPr>
          <w:p w14:paraId="10F99FD9" w14:textId="424659A1" w:rsidR="00F42B50" w:rsidRPr="00F466D7" w:rsidRDefault="00F42B50">
            <w:pPr>
              <w:rPr>
                <w:sz w:val="22"/>
                <w:szCs w:val="22"/>
              </w:rPr>
            </w:pPr>
            <w:r w:rsidRPr="00F466D7">
              <w:rPr>
                <w:b/>
                <w:sz w:val="22"/>
                <w:szCs w:val="22"/>
              </w:rPr>
              <w:t>b. Personal and professional interests</w:t>
            </w:r>
            <w:r w:rsidR="009B3992" w:rsidRPr="00F466D7">
              <w:rPr>
                <w:b/>
                <w:sz w:val="22"/>
                <w:szCs w:val="22"/>
              </w:rPr>
              <w:t xml:space="preserve"> </w:t>
            </w:r>
            <w:r w:rsidR="009B3992" w:rsidRPr="00F466D7">
              <w:rPr>
                <w:sz w:val="22"/>
                <w:szCs w:val="22"/>
              </w:rPr>
              <w:t>(journalism, narrative literature,</w:t>
            </w:r>
            <w:r w:rsidR="009B3992" w:rsidRPr="00F466D7">
              <w:rPr>
                <w:b/>
                <w:sz w:val="22"/>
                <w:szCs w:val="22"/>
              </w:rPr>
              <w:t xml:space="preserve"> </w:t>
            </w:r>
            <w:r w:rsidR="009B3992" w:rsidRPr="00F466D7">
              <w:rPr>
                <w:sz w:val="22"/>
                <w:szCs w:val="22"/>
              </w:rPr>
              <w:t>political satire, literacy methods)</w:t>
            </w:r>
          </w:p>
        </w:tc>
      </w:tr>
      <w:tr w:rsidR="00F42B50" w:rsidRPr="00F466D7" w14:paraId="0D40881D" w14:textId="77777777" w:rsidTr="00F42B50">
        <w:tc>
          <w:tcPr>
            <w:tcW w:w="9576" w:type="dxa"/>
            <w:gridSpan w:val="2"/>
            <w:shd w:val="clear" w:color="auto" w:fill="F2F2F2" w:themeFill="background1" w:themeFillShade="F2"/>
          </w:tcPr>
          <w:p w14:paraId="01BB65E4" w14:textId="7FB2816C" w:rsidR="00F42B50" w:rsidRPr="00F466D7" w:rsidRDefault="00F42B50">
            <w:pPr>
              <w:rPr>
                <w:b/>
                <w:sz w:val="22"/>
                <w:szCs w:val="22"/>
              </w:rPr>
            </w:pPr>
            <w:r w:rsidRPr="00F466D7">
              <w:rPr>
                <w:b/>
                <w:sz w:val="22"/>
                <w:szCs w:val="22"/>
              </w:rPr>
              <w:t>c. Summary of each chapter</w:t>
            </w:r>
          </w:p>
        </w:tc>
      </w:tr>
      <w:tr w:rsidR="00F42B50" w:rsidRPr="00F466D7" w14:paraId="689884A5" w14:textId="77777777" w:rsidTr="00F42B50">
        <w:tc>
          <w:tcPr>
            <w:tcW w:w="9576" w:type="dxa"/>
            <w:gridSpan w:val="2"/>
            <w:shd w:val="clear" w:color="auto" w:fill="F2F2F2" w:themeFill="background1" w:themeFillShade="F2"/>
          </w:tcPr>
          <w:p w14:paraId="65C8EF7D" w14:textId="5C9571C7" w:rsidR="00F42B50" w:rsidRPr="00F466D7" w:rsidRDefault="00F42B50" w:rsidP="003E1C2D">
            <w:pPr>
              <w:rPr>
                <w:b/>
                <w:sz w:val="22"/>
                <w:szCs w:val="22"/>
              </w:rPr>
            </w:pPr>
            <w:r w:rsidRPr="00F466D7">
              <w:rPr>
                <w:b/>
                <w:sz w:val="22"/>
                <w:szCs w:val="22"/>
              </w:rPr>
              <w:t xml:space="preserve">d. Why this study is important </w:t>
            </w:r>
          </w:p>
        </w:tc>
      </w:tr>
      <w:tr w:rsidR="003E1C2D" w:rsidRPr="00F466D7" w14:paraId="09E7CF6D" w14:textId="77777777" w:rsidTr="00F42B50">
        <w:tc>
          <w:tcPr>
            <w:tcW w:w="9576" w:type="dxa"/>
            <w:gridSpan w:val="2"/>
            <w:shd w:val="clear" w:color="auto" w:fill="F2F2F2" w:themeFill="background1" w:themeFillShade="F2"/>
          </w:tcPr>
          <w:p w14:paraId="284F6BD0" w14:textId="3B77C2D8" w:rsidR="003E1C2D" w:rsidRPr="00F466D7" w:rsidRDefault="003E1C2D" w:rsidP="003E1C2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466D7">
              <w:rPr>
                <w:sz w:val="22"/>
                <w:szCs w:val="22"/>
              </w:rPr>
              <w:t xml:space="preserve">Provides a </w:t>
            </w:r>
            <w:r w:rsidR="009B3992" w:rsidRPr="00F466D7">
              <w:rPr>
                <w:sz w:val="22"/>
                <w:szCs w:val="22"/>
              </w:rPr>
              <w:t xml:space="preserve">discussion of and </w:t>
            </w:r>
            <w:r w:rsidRPr="00F466D7">
              <w:rPr>
                <w:sz w:val="22"/>
                <w:szCs w:val="22"/>
              </w:rPr>
              <w:t>framework for interpret</w:t>
            </w:r>
            <w:r w:rsidR="00654C98" w:rsidRPr="00F466D7">
              <w:rPr>
                <w:sz w:val="22"/>
                <w:szCs w:val="22"/>
              </w:rPr>
              <w:t>ive analysis of multi-</w:t>
            </w:r>
            <w:r w:rsidRPr="00F466D7">
              <w:rPr>
                <w:sz w:val="22"/>
                <w:szCs w:val="22"/>
              </w:rPr>
              <w:t xml:space="preserve"> and cross-modal texts.</w:t>
            </w:r>
          </w:p>
        </w:tc>
      </w:tr>
      <w:tr w:rsidR="00F42B50" w:rsidRPr="00F466D7" w14:paraId="4ED203CC" w14:textId="02CBBAD2" w:rsidTr="00F42B50">
        <w:tc>
          <w:tcPr>
            <w:tcW w:w="9576" w:type="dxa"/>
            <w:gridSpan w:val="2"/>
            <w:shd w:val="clear" w:color="auto" w:fill="F2F2F2" w:themeFill="background1" w:themeFillShade="F2"/>
          </w:tcPr>
          <w:p w14:paraId="415401B3" w14:textId="257D9C79" w:rsidR="00F42B50" w:rsidRPr="00F466D7" w:rsidRDefault="00F42B50" w:rsidP="00FD29B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466D7">
              <w:rPr>
                <w:sz w:val="22"/>
                <w:szCs w:val="22"/>
              </w:rPr>
              <w:t xml:space="preserve">Adds to the cultural understanding of the role of editorial cartoons </w:t>
            </w:r>
            <w:r w:rsidR="00FD29B2">
              <w:rPr>
                <w:sz w:val="22"/>
                <w:szCs w:val="22"/>
              </w:rPr>
              <w:t xml:space="preserve">(cross-modal, non-linear texts) </w:t>
            </w:r>
            <w:r w:rsidRPr="00F466D7">
              <w:rPr>
                <w:sz w:val="22"/>
                <w:szCs w:val="22"/>
              </w:rPr>
              <w:t>as a means of transmitting ideas and of shaping attitudes.</w:t>
            </w:r>
            <w:r w:rsidRPr="00F466D7">
              <w:rPr>
                <w:b/>
                <w:sz w:val="22"/>
                <w:szCs w:val="22"/>
              </w:rPr>
              <w:t xml:space="preserve"> </w:t>
            </w:r>
            <w:r w:rsidRPr="00F466D7">
              <w:rPr>
                <w:sz w:val="22"/>
                <w:szCs w:val="22"/>
              </w:rPr>
              <w:t xml:space="preserve"> </w:t>
            </w:r>
          </w:p>
        </w:tc>
      </w:tr>
      <w:tr w:rsidR="00F42B50" w:rsidRPr="00F466D7" w14:paraId="2D58FFE4" w14:textId="10F6F89A" w:rsidTr="00F42B50">
        <w:tc>
          <w:tcPr>
            <w:tcW w:w="9576" w:type="dxa"/>
            <w:gridSpan w:val="2"/>
            <w:shd w:val="clear" w:color="auto" w:fill="F2F2F2" w:themeFill="background1" w:themeFillShade="F2"/>
          </w:tcPr>
          <w:p w14:paraId="17F8581D" w14:textId="21A6C260" w:rsidR="00F42B50" w:rsidRPr="00F466D7" w:rsidRDefault="00F42B50" w:rsidP="009B3992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F466D7">
              <w:rPr>
                <w:sz w:val="22"/>
                <w:szCs w:val="22"/>
              </w:rPr>
              <w:t xml:space="preserve">Adds to the understanding of today’s </w:t>
            </w:r>
            <w:r w:rsidR="00654C98" w:rsidRPr="00F466D7">
              <w:rPr>
                <w:sz w:val="22"/>
                <w:szCs w:val="22"/>
              </w:rPr>
              <w:t xml:space="preserve">narrative </w:t>
            </w:r>
            <w:r w:rsidRPr="00F466D7">
              <w:rPr>
                <w:sz w:val="22"/>
                <w:szCs w:val="22"/>
              </w:rPr>
              <w:t xml:space="preserve">literature, particularly </w:t>
            </w:r>
            <w:r w:rsidR="009B3992" w:rsidRPr="00F466D7">
              <w:rPr>
                <w:sz w:val="22"/>
                <w:szCs w:val="22"/>
              </w:rPr>
              <w:t xml:space="preserve">non-linear </w:t>
            </w:r>
            <w:r w:rsidR="00654C98" w:rsidRPr="00F466D7">
              <w:rPr>
                <w:sz w:val="22"/>
                <w:szCs w:val="22"/>
              </w:rPr>
              <w:t xml:space="preserve">multi-and-cross-modal </w:t>
            </w:r>
            <w:r w:rsidRPr="00F466D7">
              <w:rPr>
                <w:sz w:val="22"/>
                <w:szCs w:val="22"/>
              </w:rPr>
              <w:t xml:space="preserve">narrative literature, and the metanarratives contained within them. </w:t>
            </w:r>
          </w:p>
        </w:tc>
      </w:tr>
      <w:tr w:rsidR="008C2B2A" w:rsidRPr="00F466D7" w14:paraId="0015D363" w14:textId="77777777" w:rsidTr="001473BD">
        <w:tc>
          <w:tcPr>
            <w:tcW w:w="558" w:type="dxa"/>
            <w:vMerge w:val="restart"/>
            <w:shd w:val="clear" w:color="auto" w:fill="F2DBDB" w:themeFill="accent2" w:themeFillTint="33"/>
          </w:tcPr>
          <w:p w14:paraId="43BAC2F3" w14:textId="5CEA817F" w:rsidR="008C2B2A" w:rsidRPr="00F466D7" w:rsidRDefault="008C2B2A">
            <w:pPr>
              <w:rPr>
                <w:b/>
                <w:sz w:val="22"/>
                <w:szCs w:val="22"/>
              </w:rPr>
            </w:pPr>
            <w:r w:rsidRPr="00F466D7">
              <w:rPr>
                <w:b/>
                <w:sz w:val="22"/>
                <w:szCs w:val="22"/>
              </w:rPr>
              <w:t>I</w:t>
            </w:r>
            <w:r w:rsidR="001473BD">
              <w:rPr>
                <w:b/>
                <w:sz w:val="22"/>
                <w:szCs w:val="22"/>
              </w:rPr>
              <w:t>I</w:t>
            </w:r>
            <w:r w:rsidRPr="00F466D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18" w:type="dxa"/>
          </w:tcPr>
          <w:p w14:paraId="16FCECD1" w14:textId="4E6C6C7C" w:rsidR="008C2B2A" w:rsidRPr="00F466D7" w:rsidRDefault="008C2B2A" w:rsidP="00AD1846">
            <w:pPr>
              <w:rPr>
                <w:b/>
                <w:sz w:val="22"/>
                <w:szCs w:val="22"/>
              </w:rPr>
            </w:pPr>
            <w:r w:rsidRPr="00F466D7">
              <w:rPr>
                <w:b/>
                <w:sz w:val="22"/>
                <w:szCs w:val="22"/>
              </w:rPr>
              <w:t xml:space="preserve">Theoretical Underpinnings </w:t>
            </w:r>
            <w:r w:rsidRPr="00F466D7">
              <w:rPr>
                <w:sz w:val="22"/>
                <w:szCs w:val="22"/>
              </w:rPr>
              <w:t>(one long or two shorter chapters</w:t>
            </w:r>
            <w:r>
              <w:rPr>
                <w:sz w:val="22"/>
                <w:szCs w:val="22"/>
              </w:rPr>
              <w:t xml:space="preserve">; </w:t>
            </w:r>
            <w:r w:rsidRPr="00F466D7">
              <w:rPr>
                <w:sz w:val="22"/>
                <w:szCs w:val="22"/>
              </w:rPr>
              <w:t>written partly retrospectively, as is appropriate to the methodology)</w:t>
            </w:r>
          </w:p>
        </w:tc>
      </w:tr>
      <w:tr w:rsidR="008C2B2A" w:rsidRPr="00F466D7" w14:paraId="341CB5CF" w14:textId="77777777" w:rsidTr="001473BD">
        <w:tc>
          <w:tcPr>
            <w:tcW w:w="558" w:type="dxa"/>
            <w:vMerge/>
            <w:shd w:val="clear" w:color="auto" w:fill="F2DBDB" w:themeFill="accent2" w:themeFillTint="33"/>
          </w:tcPr>
          <w:p w14:paraId="605B3F0D" w14:textId="77777777" w:rsidR="008C2B2A" w:rsidRPr="00F466D7" w:rsidRDefault="008C2B2A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2922B8EA" w14:textId="2114F609" w:rsidR="008C2B2A" w:rsidRPr="006D267C" w:rsidRDefault="008C2B2A" w:rsidP="009E4A1D">
            <w:pPr>
              <w:spacing w:beforeLines="1" w:before="2" w:afterLines="1" w:after="2"/>
              <w:rPr>
                <w:i/>
                <w:sz w:val="22"/>
                <w:szCs w:val="22"/>
              </w:rPr>
            </w:pPr>
            <w:r w:rsidRPr="006D267C">
              <w:rPr>
                <w:sz w:val="22"/>
                <w:szCs w:val="22"/>
              </w:rPr>
              <w:t>A. Soft Theory as a basis for Interpretive Study</w:t>
            </w:r>
          </w:p>
        </w:tc>
      </w:tr>
      <w:tr w:rsidR="008C2B2A" w:rsidRPr="00F466D7" w14:paraId="51719C35" w14:textId="77777777" w:rsidTr="001473BD">
        <w:tc>
          <w:tcPr>
            <w:tcW w:w="558" w:type="dxa"/>
            <w:vMerge/>
            <w:shd w:val="clear" w:color="auto" w:fill="F2DBDB" w:themeFill="accent2" w:themeFillTint="33"/>
          </w:tcPr>
          <w:p w14:paraId="04E3B44E" w14:textId="77777777" w:rsidR="008C2B2A" w:rsidRPr="00F466D7" w:rsidRDefault="008C2B2A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1B4ED5BF" w14:textId="6A4660F4" w:rsidR="008C2B2A" w:rsidRPr="00F466D7" w:rsidRDefault="008C2B2A" w:rsidP="009B399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466D7">
              <w:rPr>
                <w:sz w:val="22"/>
                <w:szCs w:val="22"/>
              </w:rPr>
              <w:t>Soft theory vs. hard-core theory (Iser</w:t>
            </w:r>
            <w:r w:rsidR="00C2084A">
              <w:rPr>
                <w:sz w:val="22"/>
                <w:szCs w:val="22"/>
              </w:rPr>
              <w:t>, 2006</w:t>
            </w:r>
            <w:r w:rsidRPr="00F466D7">
              <w:rPr>
                <w:sz w:val="22"/>
                <w:szCs w:val="22"/>
              </w:rPr>
              <w:t>)</w:t>
            </w:r>
          </w:p>
          <w:p w14:paraId="2E88CEC8" w14:textId="29024DC7" w:rsidR="008C2B2A" w:rsidRPr="00F466D7" w:rsidRDefault="008C2B2A" w:rsidP="009B399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466D7">
              <w:rPr>
                <w:sz w:val="22"/>
                <w:szCs w:val="22"/>
              </w:rPr>
              <w:t>Empirical theories vs. grounded theories (Silverman</w:t>
            </w:r>
            <w:r w:rsidR="00C2084A">
              <w:rPr>
                <w:sz w:val="22"/>
                <w:szCs w:val="22"/>
              </w:rPr>
              <w:t>, 2010</w:t>
            </w:r>
            <w:r w:rsidRPr="00F466D7">
              <w:rPr>
                <w:sz w:val="22"/>
                <w:szCs w:val="22"/>
              </w:rPr>
              <w:t>)</w:t>
            </w:r>
          </w:p>
        </w:tc>
      </w:tr>
      <w:tr w:rsidR="008C2B2A" w:rsidRPr="00F466D7" w14:paraId="5C824EA7" w14:textId="77777777" w:rsidTr="001473BD">
        <w:tc>
          <w:tcPr>
            <w:tcW w:w="558" w:type="dxa"/>
            <w:vMerge/>
            <w:shd w:val="clear" w:color="auto" w:fill="F2DBDB" w:themeFill="accent2" w:themeFillTint="33"/>
          </w:tcPr>
          <w:p w14:paraId="4C77A702" w14:textId="77777777" w:rsidR="008C2B2A" w:rsidRPr="00F466D7" w:rsidRDefault="008C2B2A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59F30E8E" w14:textId="7BA72DBF" w:rsidR="008C2B2A" w:rsidRPr="00F466D7" w:rsidRDefault="008C2B2A" w:rsidP="00F36D68">
            <w:pPr>
              <w:rPr>
                <w:sz w:val="22"/>
                <w:szCs w:val="22"/>
              </w:rPr>
            </w:pPr>
            <w:r w:rsidRPr="00F466D7">
              <w:rPr>
                <w:sz w:val="22"/>
                <w:szCs w:val="22"/>
              </w:rPr>
              <w:t>B. Interpretation and Objective, Subjective, and Perceived Reality</w:t>
            </w:r>
          </w:p>
        </w:tc>
      </w:tr>
      <w:tr w:rsidR="008C2B2A" w:rsidRPr="00F466D7" w14:paraId="58CDD65B" w14:textId="77777777" w:rsidTr="001473BD">
        <w:trPr>
          <w:trHeight w:val="341"/>
        </w:trPr>
        <w:tc>
          <w:tcPr>
            <w:tcW w:w="558" w:type="dxa"/>
            <w:vMerge/>
            <w:shd w:val="clear" w:color="auto" w:fill="F2DBDB" w:themeFill="accent2" w:themeFillTint="33"/>
          </w:tcPr>
          <w:p w14:paraId="1663A29D" w14:textId="77777777" w:rsidR="008C2B2A" w:rsidRPr="00F466D7" w:rsidRDefault="008C2B2A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182D4CA3" w14:textId="2E226E60" w:rsidR="008C2B2A" w:rsidRPr="00F466D7" w:rsidRDefault="008C2B2A" w:rsidP="00AD184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466D7">
              <w:rPr>
                <w:sz w:val="22"/>
                <w:szCs w:val="22"/>
              </w:rPr>
              <w:t>Phenomenology as a type of interpretive soft theory (Spinelli</w:t>
            </w:r>
            <w:r w:rsidR="006D267C">
              <w:rPr>
                <w:sz w:val="22"/>
                <w:szCs w:val="22"/>
              </w:rPr>
              <w:t>, 1989</w:t>
            </w:r>
            <w:r w:rsidRPr="00F466D7">
              <w:rPr>
                <w:sz w:val="22"/>
                <w:szCs w:val="22"/>
              </w:rPr>
              <w:t>; Rico</w:t>
            </w:r>
            <w:r w:rsidR="00987F07">
              <w:rPr>
                <w:sz w:val="22"/>
                <w:szCs w:val="22"/>
              </w:rPr>
              <w:t>e</w:t>
            </w:r>
            <w:r w:rsidRPr="00F466D7">
              <w:rPr>
                <w:sz w:val="22"/>
                <w:szCs w:val="22"/>
              </w:rPr>
              <w:t>ur</w:t>
            </w:r>
            <w:r w:rsidR="00987F07">
              <w:rPr>
                <w:sz w:val="22"/>
                <w:szCs w:val="22"/>
              </w:rPr>
              <w:t>, 1976</w:t>
            </w:r>
            <w:r w:rsidRPr="00F466D7">
              <w:rPr>
                <w:sz w:val="22"/>
                <w:szCs w:val="22"/>
              </w:rPr>
              <w:t>)</w:t>
            </w:r>
          </w:p>
          <w:p w14:paraId="3EB817B1" w14:textId="271A8316" w:rsidR="008C2B2A" w:rsidRPr="00F466D7" w:rsidRDefault="008C2B2A" w:rsidP="00AD184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466D7">
              <w:rPr>
                <w:sz w:val="22"/>
                <w:szCs w:val="22"/>
              </w:rPr>
              <w:t>Hermeneutics as a type of interpretive soft theory (Pokorn</w:t>
            </w:r>
            <w:r w:rsidRPr="00F466D7">
              <w:rPr>
                <w:rFonts w:cs="Lucida Grande"/>
                <w:color w:val="000000"/>
                <w:sz w:val="22"/>
                <w:szCs w:val="22"/>
              </w:rPr>
              <w:t>ý</w:t>
            </w:r>
            <w:r w:rsidR="006D267C">
              <w:rPr>
                <w:rFonts w:cs="Lucida Grande"/>
                <w:color w:val="000000"/>
                <w:sz w:val="22"/>
                <w:szCs w:val="22"/>
              </w:rPr>
              <w:t>, 2011</w:t>
            </w:r>
            <w:r w:rsidRPr="00F466D7">
              <w:rPr>
                <w:rFonts w:cs="Lucida Grande"/>
                <w:color w:val="000000"/>
                <w:sz w:val="22"/>
                <w:szCs w:val="22"/>
              </w:rPr>
              <w:t>; Howard</w:t>
            </w:r>
            <w:r w:rsidR="006D267C">
              <w:rPr>
                <w:rFonts w:cs="Lucida Grande"/>
                <w:color w:val="000000"/>
                <w:sz w:val="22"/>
                <w:szCs w:val="22"/>
              </w:rPr>
              <w:t>, 1982</w:t>
            </w:r>
            <w:r w:rsidRPr="00F466D7">
              <w:rPr>
                <w:rFonts w:cs="Lucida Grande"/>
                <w:color w:val="000000"/>
                <w:sz w:val="22"/>
                <w:szCs w:val="22"/>
              </w:rPr>
              <w:t>)</w:t>
            </w:r>
          </w:p>
          <w:p w14:paraId="0762150A" w14:textId="4F5ABCC2" w:rsidR="008C2B2A" w:rsidRPr="00F466D7" w:rsidRDefault="008C2B2A" w:rsidP="008C2B2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466D7">
              <w:rPr>
                <w:rFonts w:cs="Lucida Grande"/>
                <w:color w:val="000000"/>
                <w:sz w:val="22"/>
                <w:szCs w:val="22"/>
              </w:rPr>
              <w:t xml:space="preserve">Ethnography as a type of interpretive </w:t>
            </w:r>
            <w:r>
              <w:rPr>
                <w:rFonts w:cs="Lucida Grande"/>
                <w:color w:val="000000"/>
                <w:sz w:val="22"/>
                <w:szCs w:val="22"/>
              </w:rPr>
              <w:t>method</w:t>
            </w:r>
            <w:r w:rsidRPr="00F466D7">
              <w:rPr>
                <w:rFonts w:cs="Lucida Grande"/>
                <w:color w:val="000000"/>
                <w:sz w:val="22"/>
                <w:szCs w:val="22"/>
              </w:rPr>
              <w:t xml:space="preserve"> (Altheide &amp; Schneider, </w:t>
            </w:r>
            <w:r w:rsidR="006D267C">
              <w:rPr>
                <w:rFonts w:cs="Lucida Grande"/>
                <w:color w:val="000000"/>
                <w:sz w:val="22"/>
                <w:szCs w:val="22"/>
              </w:rPr>
              <w:t xml:space="preserve">2012; </w:t>
            </w:r>
            <w:r w:rsidRPr="00F466D7">
              <w:rPr>
                <w:rFonts w:cs="Lucida Grande"/>
                <w:color w:val="000000"/>
                <w:sz w:val="22"/>
                <w:szCs w:val="22"/>
              </w:rPr>
              <w:t>et al.)</w:t>
            </w:r>
          </w:p>
        </w:tc>
      </w:tr>
      <w:tr w:rsidR="008C2B2A" w:rsidRPr="00F466D7" w14:paraId="65EDA64E" w14:textId="77777777" w:rsidTr="001473BD">
        <w:tc>
          <w:tcPr>
            <w:tcW w:w="558" w:type="dxa"/>
            <w:vMerge/>
            <w:shd w:val="clear" w:color="auto" w:fill="F2DBDB" w:themeFill="accent2" w:themeFillTint="33"/>
          </w:tcPr>
          <w:p w14:paraId="6BA543F6" w14:textId="1CE1B6C6" w:rsidR="008C2B2A" w:rsidRPr="00F466D7" w:rsidRDefault="008C2B2A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3E2D2B94" w14:textId="51AF4E76" w:rsidR="008C2B2A" w:rsidRPr="00F466D7" w:rsidRDefault="008C2B2A" w:rsidP="00F36D68">
            <w:pPr>
              <w:rPr>
                <w:sz w:val="22"/>
                <w:szCs w:val="22"/>
              </w:rPr>
            </w:pPr>
            <w:r w:rsidRPr="00F466D7">
              <w:rPr>
                <w:sz w:val="22"/>
                <w:szCs w:val="22"/>
              </w:rPr>
              <w:t>C. Multi- and Cross-Modal Nonlinear Narrative Cartoons as Texts for Interpretation</w:t>
            </w:r>
          </w:p>
        </w:tc>
      </w:tr>
      <w:tr w:rsidR="008C2B2A" w:rsidRPr="00F466D7" w14:paraId="77004586" w14:textId="77777777" w:rsidTr="001473BD">
        <w:tc>
          <w:tcPr>
            <w:tcW w:w="558" w:type="dxa"/>
            <w:vMerge/>
            <w:shd w:val="clear" w:color="auto" w:fill="F2DBDB" w:themeFill="accent2" w:themeFillTint="33"/>
          </w:tcPr>
          <w:p w14:paraId="52F5E704" w14:textId="77777777" w:rsidR="008C2B2A" w:rsidRPr="00F466D7" w:rsidRDefault="008C2B2A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3EAC6736" w14:textId="7D3CCDDF" w:rsidR="008C2B2A" w:rsidRPr="00F466D7" w:rsidRDefault="008C2B2A" w:rsidP="008E7FA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466D7">
              <w:rPr>
                <w:sz w:val="22"/>
                <w:szCs w:val="22"/>
              </w:rPr>
              <w:t xml:space="preserve">Semiotic modes </w:t>
            </w:r>
            <w:r w:rsidRPr="00F466D7">
              <w:rPr>
                <w:rStyle w:val="tgc"/>
                <w:rFonts w:eastAsia="Times New Roman" w:cs="Times New Roman"/>
                <w:sz w:val="22"/>
                <w:szCs w:val="22"/>
              </w:rPr>
              <w:t>(Kress and van Leeuwen</w:t>
            </w:r>
            <w:r w:rsidR="006D267C">
              <w:rPr>
                <w:rStyle w:val="tgc"/>
                <w:rFonts w:eastAsia="Times New Roman" w:cs="Times New Roman"/>
                <w:sz w:val="22"/>
                <w:szCs w:val="22"/>
              </w:rPr>
              <w:t>, 2006</w:t>
            </w:r>
            <w:r w:rsidRPr="00F466D7">
              <w:rPr>
                <w:rStyle w:val="tgc"/>
                <w:rFonts w:eastAsia="Times New Roman" w:cs="Times New Roman"/>
                <w:sz w:val="22"/>
                <w:szCs w:val="22"/>
              </w:rPr>
              <w:t xml:space="preserve">; </w:t>
            </w:r>
            <w:r w:rsidRPr="00F466D7">
              <w:rPr>
                <w:sz w:val="22"/>
                <w:szCs w:val="22"/>
              </w:rPr>
              <w:t>Tsakona</w:t>
            </w:r>
            <w:r w:rsidR="00F94852">
              <w:rPr>
                <w:sz w:val="22"/>
                <w:szCs w:val="22"/>
              </w:rPr>
              <w:t>, 2009</w:t>
            </w:r>
            <w:r w:rsidRPr="00F466D7">
              <w:rPr>
                <w:sz w:val="22"/>
                <w:szCs w:val="22"/>
              </w:rPr>
              <w:t>; Gee</w:t>
            </w:r>
            <w:r w:rsidR="00C04705">
              <w:rPr>
                <w:sz w:val="22"/>
                <w:szCs w:val="22"/>
              </w:rPr>
              <w:t>, 2003</w:t>
            </w:r>
            <w:r w:rsidRPr="00F466D7">
              <w:rPr>
                <w:sz w:val="22"/>
                <w:szCs w:val="22"/>
              </w:rPr>
              <w:t>)</w:t>
            </w:r>
            <w:r w:rsidR="00333F90">
              <w:rPr>
                <w:sz w:val="22"/>
                <w:szCs w:val="22"/>
              </w:rPr>
              <w:t xml:space="preserve">; </w:t>
            </w:r>
            <w:r w:rsidR="00297365">
              <w:rPr>
                <w:sz w:val="22"/>
                <w:szCs w:val="22"/>
              </w:rPr>
              <w:t xml:space="preserve">[added December 10, 2016: </w:t>
            </w:r>
            <w:r w:rsidR="00333F90">
              <w:rPr>
                <w:sz w:val="22"/>
                <w:szCs w:val="22"/>
              </w:rPr>
              <w:t>rhetorical techniques (Medhurst and De Sousa, 1981)</w:t>
            </w:r>
          </w:p>
        </w:tc>
      </w:tr>
      <w:tr w:rsidR="008C2B2A" w:rsidRPr="00F466D7" w14:paraId="30A193D7" w14:textId="77777777" w:rsidTr="001473BD">
        <w:tc>
          <w:tcPr>
            <w:tcW w:w="558" w:type="dxa"/>
            <w:vMerge/>
            <w:shd w:val="clear" w:color="auto" w:fill="F2DBDB" w:themeFill="accent2" w:themeFillTint="33"/>
          </w:tcPr>
          <w:p w14:paraId="60782DBF" w14:textId="77777777" w:rsidR="008C2B2A" w:rsidRPr="00F466D7" w:rsidRDefault="008C2B2A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7D7FF331" w14:textId="0AF61964" w:rsidR="008C2B2A" w:rsidRPr="00F466D7" w:rsidRDefault="008C2B2A" w:rsidP="00F36D6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466D7">
              <w:rPr>
                <w:sz w:val="22"/>
                <w:szCs w:val="22"/>
              </w:rPr>
              <w:t>Multi- and cross-modality / Non-linearity (Sloutsky &amp; Lo, et al.) [Implicit modality]</w:t>
            </w:r>
          </w:p>
        </w:tc>
      </w:tr>
      <w:tr w:rsidR="008C2B2A" w:rsidRPr="00F466D7" w14:paraId="18834431" w14:textId="77777777" w:rsidTr="001473BD">
        <w:tc>
          <w:tcPr>
            <w:tcW w:w="558" w:type="dxa"/>
            <w:vMerge/>
            <w:shd w:val="clear" w:color="auto" w:fill="F2DBDB" w:themeFill="accent2" w:themeFillTint="33"/>
          </w:tcPr>
          <w:p w14:paraId="41B16E74" w14:textId="77777777" w:rsidR="008C2B2A" w:rsidRPr="00F466D7" w:rsidRDefault="008C2B2A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4EE73FB1" w14:textId="0F15F660" w:rsidR="008C2B2A" w:rsidRPr="00F466D7" w:rsidRDefault="008C2B2A" w:rsidP="008E7FA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466D7">
              <w:rPr>
                <w:sz w:val="22"/>
                <w:szCs w:val="22"/>
              </w:rPr>
              <w:t xml:space="preserve">Cartoons as </w:t>
            </w:r>
            <w:r>
              <w:rPr>
                <w:sz w:val="22"/>
                <w:szCs w:val="22"/>
              </w:rPr>
              <w:t xml:space="preserve">compressed, </w:t>
            </w:r>
            <w:r w:rsidRPr="00F466D7">
              <w:rPr>
                <w:sz w:val="22"/>
                <w:szCs w:val="22"/>
              </w:rPr>
              <w:t>nonlinear narratives (</w:t>
            </w:r>
            <w:r>
              <w:rPr>
                <w:sz w:val="22"/>
                <w:szCs w:val="22"/>
              </w:rPr>
              <w:t>Herman</w:t>
            </w:r>
            <w:r w:rsidR="00C04705">
              <w:rPr>
                <w:sz w:val="22"/>
                <w:szCs w:val="22"/>
              </w:rPr>
              <w:t>, 2012</w:t>
            </w:r>
            <w:r>
              <w:rPr>
                <w:sz w:val="22"/>
                <w:szCs w:val="22"/>
              </w:rPr>
              <w:t>; Tsanka</w:t>
            </w:r>
            <w:r w:rsidR="00F94852">
              <w:rPr>
                <w:sz w:val="22"/>
                <w:szCs w:val="22"/>
              </w:rPr>
              <w:t>, 2009</w:t>
            </w:r>
            <w:r>
              <w:rPr>
                <w:sz w:val="22"/>
                <w:szCs w:val="22"/>
              </w:rPr>
              <w:t>;</w:t>
            </w:r>
            <w:r w:rsidRPr="00F466D7">
              <w:rPr>
                <w:sz w:val="22"/>
                <w:szCs w:val="22"/>
              </w:rPr>
              <w:t xml:space="preserve"> McCloud</w:t>
            </w:r>
            <w:r w:rsidR="00C04705">
              <w:rPr>
                <w:sz w:val="22"/>
                <w:szCs w:val="22"/>
              </w:rPr>
              <w:t>, 2000</w:t>
            </w:r>
            <w:r w:rsidRPr="00F466D7">
              <w:rPr>
                <w:sz w:val="22"/>
                <w:szCs w:val="22"/>
              </w:rPr>
              <w:t>)</w:t>
            </w:r>
          </w:p>
        </w:tc>
      </w:tr>
      <w:tr w:rsidR="008C2B2A" w:rsidRPr="00F466D7" w14:paraId="120A0E38" w14:textId="77777777" w:rsidTr="001473BD">
        <w:tc>
          <w:tcPr>
            <w:tcW w:w="558" w:type="dxa"/>
            <w:vMerge/>
            <w:shd w:val="clear" w:color="auto" w:fill="F2DBDB" w:themeFill="accent2" w:themeFillTint="33"/>
          </w:tcPr>
          <w:p w14:paraId="7EDBCBF0" w14:textId="77777777" w:rsidR="008C2B2A" w:rsidRPr="00F466D7" w:rsidRDefault="008C2B2A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512BA29C" w14:textId="0CB60D93" w:rsidR="008C2B2A" w:rsidRPr="00F466D7" w:rsidRDefault="008C2B2A" w:rsidP="00380167">
            <w:pPr>
              <w:pStyle w:val="ListParagraph"/>
              <w:ind w:left="0"/>
              <w:rPr>
                <w:sz w:val="22"/>
                <w:szCs w:val="22"/>
              </w:rPr>
            </w:pPr>
            <w:r w:rsidRPr="00F466D7">
              <w:rPr>
                <w:sz w:val="22"/>
                <w:szCs w:val="22"/>
              </w:rPr>
              <w:t>D. Contextual Web</w:t>
            </w:r>
          </w:p>
        </w:tc>
      </w:tr>
      <w:tr w:rsidR="008C2B2A" w:rsidRPr="00F466D7" w14:paraId="302517F2" w14:textId="77777777" w:rsidTr="001473BD">
        <w:tc>
          <w:tcPr>
            <w:tcW w:w="558" w:type="dxa"/>
            <w:vMerge/>
            <w:shd w:val="clear" w:color="auto" w:fill="F2DBDB" w:themeFill="accent2" w:themeFillTint="33"/>
          </w:tcPr>
          <w:p w14:paraId="7D9AE8BD" w14:textId="77777777" w:rsidR="008C2B2A" w:rsidRPr="00F466D7" w:rsidRDefault="008C2B2A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3ADFA0B5" w14:textId="6708450D" w:rsidR="008C2B2A" w:rsidRPr="00F466D7" w:rsidRDefault="008C2B2A" w:rsidP="0038016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466D7">
              <w:rPr>
                <w:sz w:val="22"/>
                <w:szCs w:val="22"/>
              </w:rPr>
              <w:t>Historiographical (Wineburg</w:t>
            </w:r>
            <w:r w:rsidR="006D267C">
              <w:rPr>
                <w:sz w:val="22"/>
                <w:szCs w:val="22"/>
              </w:rPr>
              <w:t>, 2001</w:t>
            </w:r>
            <w:r w:rsidRPr="00F466D7">
              <w:rPr>
                <w:sz w:val="22"/>
                <w:szCs w:val="22"/>
              </w:rPr>
              <w:t>)</w:t>
            </w:r>
          </w:p>
        </w:tc>
      </w:tr>
      <w:tr w:rsidR="008C2B2A" w:rsidRPr="00F466D7" w14:paraId="329E971C" w14:textId="77777777" w:rsidTr="001473BD">
        <w:tc>
          <w:tcPr>
            <w:tcW w:w="558" w:type="dxa"/>
            <w:vMerge/>
            <w:shd w:val="clear" w:color="auto" w:fill="F2DBDB" w:themeFill="accent2" w:themeFillTint="33"/>
          </w:tcPr>
          <w:p w14:paraId="1A1470BD" w14:textId="77777777" w:rsidR="008C2B2A" w:rsidRPr="00F466D7" w:rsidRDefault="008C2B2A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1D35C3A0" w14:textId="683FE751" w:rsidR="008C2B2A" w:rsidRPr="00F466D7" w:rsidRDefault="008C2B2A" w:rsidP="00380167">
            <w:pPr>
              <w:pStyle w:val="ListParagraph"/>
              <w:numPr>
                <w:ilvl w:val="0"/>
                <w:numId w:val="9"/>
              </w:numPr>
              <w:spacing w:beforeLines="1" w:before="2" w:afterLines="1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Discipline/Profession/Field: </w:t>
            </w:r>
            <w:r w:rsidRPr="00F466D7">
              <w:rPr>
                <w:sz w:val="22"/>
                <w:szCs w:val="22"/>
              </w:rPr>
              <w:t>Journalistic (Morris</w:t>
            </w:r>
            <w:r w:rsidR="00F94852">
              <w:rPr>
                <w:sz w:val="22"/>
                <w:szCs w:val="22"/>
              </w:rPr>
              <w:t>, 1989</w:t>
            </w:r>
            <w:r w:rsidR="00EC5F9A">
              <w:rPr>
                <w:sz w:val="22"/>
                <w:szCs w:val="22"/>
              </w:rPr>
              <w:t>; Lowrey</w:t>
            </w:r>
            <w:r w:rsidR="006D267C">
              <w:rPr>
                <w:sz w:val="22"/>
                <w:szCs w:val="22"/>
              </w:rPr>
              <w:t>, 2008</w:t>
            </w:r>
            <w:r w:rsidRPr="00F466D7">
              <w:rPr>
                <w:sz w:val="22"/>
                <w:szCs w:val="22"/>
              </w:rPr>
              <w:t>)</w:t>
            </w:r>
          </w:p>
        </w:tc>
      </w:tr>
      <w:tr w:rsidR="008C2B2A" w:rsidRPr="00F466D7" w14:paraId="5C6D84B1" w14:textId="77777777" w:rsidTr="001473BD">
        <w:tc>
          <w:tcPr>
            <w:tcW w:w="558" w:type="dxa"/>
            <w:vMerge/>
            <w:shd w:val="clear" w:color="auto" w:fill="F2DBDB" w:themeFill="accent2" w:themeFillTint="33"/>
          </w:tcPr>
          <w:p w14:paraId="0917D9AD" w14:textId="77777777" w:rsidR="008C2B2A" w:rsidRPr="00F466D7" w:rsidRDefault="008C2B2A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730686C7" w14:textId="2C347D1E" w:rsidR="008C2B2A" w:rsidRPr="00F466D7" w:rsidRDefault="008C2B2A" w:rsidP="009B2577">
            <w:pPr>
              <w:rPr>
                <w:sz w:val="22"/>
                <w:szCs w:val="22"/>
              </w:rPr>
            </w:pPr>
            <w:r w:rsidRPr="00F466D7">
              <w:rPr>
                <w:sz w:val="22"/>
                <w:szCs w:val="22"/>
              </w:rPr>
              <w:t xml:space="preserve">E. Theorizing Editorial Cartoons </w:t>
            </w:r>
          </w:p>
        </w:tc>
      </w:tr>
      <w:tr w:rsidR="008C2B2A" w:rsidRPr="00F466D7" w14:paraId="3458EB7A" w14:textId="77777777" w:rsidTr="001473BD">
        <w:tc>
          <w:tcPr>
            <w:tcW w:w="558" w:type="dxa"/>
            <w:vMerge/>
            <w:shd w:val="clear" w:color="auto" w:fill="F2DBDB" w:themeFill="accent2" w:themeFillTint="33"/>
          </w:tcPr>
          <w:p w14:paraId="708852A3" w14:textId="77777777" w:rsidR="008C2B2A" w:rsidRPr="00F466D7" w:rsidRDefault="008C2B2A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38D73D56" w14:textId="706F1786" w:rsidR="008C2B2A" w:rsidRPr="00F466D7" w:rsidRDefault="008C2B2A" w:rsidP="0038016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466D7">
              <w:rPr>
                <w:sz w:val="22"/>
                <w:szCs w:val="22"/>
              </w:rPr>
              <w:t>Terminology and Definitions</w:t>
            </w:r>
          </w:p>
        </w:tc>
      </w:tr>
      <w:tr w:rsidR="008C2B2A" w:rsidRPr="00F466D7" w14:paraId="68652930" w14:textId="77777777" w:rsidTr="001473BD">
        <w:tc>
          <w:tcPr>
            <w:tcW w:w="558" w:type="dxa"/>
            <w:vMerge/>
            <w:shd w:val="clear" w:color="auto" w:fill="F2DBDB" w:themeFill="accent2" w:themeFillTint="33"/>
          </w:tcPr>
          <w:p w14:paraId="242EB081" w14:textId="77777777" w:rsidR="008C2B2A" w:rsidRPr="00F466D7" w:rsidRDefault="008C2B2A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2E35FE2F" w14:textId="58E870E5" w:rsidR="008C2B2A" w:rsidRPr="00F466D7" w:rsidRDefault="008C2B2A" w:rsidP="0038016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466D7">
              <w:rPr>
                <w:sz w:val="22"/>
                <w:szCs w:val="22"/>
              </w:rPr>
              <w:t>Cartoon as Jester / Fool (Morris</w:t>
            </w:r>
            <w:r w:rsidR="00F94852">
              <w:rPr>
                <w:sz w:val="22"/>
                <w:szCs w:val="22"/>
              </w:rPr>
              <w:t>, 1989</w:t>
            </w:r>
            <w:r w:rsidRPr="00F466D7">
              <w:rPr>
                <w:sz w:val="22"/>
                <w:szCs w:val="22"/>
              </w:rPr>
              <w:t>)</w:t>
            </w:r>
          </w:p>
        </w:tc>
      </w:tr>
      <w:tr w:rsidR="008C2B2A" w:rsidRPr="00F466D7" w14:paraId="4C016C24" w14:textId="77777777" w:rsidTr="001473BD">
        <w:tc>
          <w:tcPr>
            <w:tcW w:w="558" w:type="dxa"/>
            <w:vMerge/>
            <w:shd w:val="clear" w:color="auto" w:fill="F2DBDB" w:themeFill="accent2" w:themeFillTint="33"/>
          </w:tcPr>
          <w:p w14:paraId="7A70DA0F" w14:textId="77777777" w:rsidR="008C2B2A" w:rsidRPr="00F466D7" w:rsidRDefault="008C2B2A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566A6DC1" w14:textId="434DF71D" w:rsidR="008C2B2A" w:rsidRPr="00F466D7" w:rsidRDefault="008C2B2A" w:rsidP="009B2577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2"/>
                <w:szCs w:val="22"/>
              </w:rPr>
            </w:pPr>
            <w:r w:rsidRPr="00F466D7">
              <w:rPr>
                <w:sz w:val="22"/>
                <w:szCs w:val="22"/>
              </w:rPr>
              <w:t>Cartoon as Inciter (Navasky</w:t>
            </w:r>
            <w:r w:rsidR="006D267C">
              <w:rPr>
                <w:sz w:val="22"/>
                <w:szCs w:val="22"/>
              </w:rPr>
              <w:t>, 2013</w:t>
            </w:r>
            <w:r w:rsidRPr="00F466D7">
              <w:rPr>
                <w:sz w:val="22"/>
                <w:szCs w:val="22"/>
              </w:rPr>
              <w:t>)</w:t>
            </w:r>
          </w:p>
        </w:tc>
      </w:tr>
      <w:tr w:rsidR="008C2B2A" w:rsidRPr="00F466D7" w14:paraId="0F82ED23" w14:textId="77777777" w:rsidTr="001473BD">
        <w:tc>
          <w:tcPr>
            <w:tcW w:w="558" w:type="dxa"/>
            <w:vMerge/>
            <w:shd w:val="clear" w:color="auto" w:fill="F2DBDB" w:themeFill="accent2" w:themeFillTint="33"/>
          </w:tcPr>
          <w:p w14:paraId="1FEA3415" w14:textId="77777777" w:rsidR="008C2B2A" w:rsidRPr="00F466D7" w:rsidRDefault="008C2B2A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76DCCBCA" w14:textId="1F6AA81F" w:rsidR="008C2B2A" w:rsidRPr="00F466D7" w:rsidRDefault="008C2B2A" w:rsidP="009B2577">
            <w:pPr>
              <w:ind w:left="720"/>
              <w:rPr>
                <w:sz w:val="22"/>
                <w:szCs w:val="22"/>
              </w:rPr>
            </w:pPr>
            <w:r w:rsidRPr="00F466D7">
              <w:rPr>
                <w:sz w:val="22"/>
                <w:szCs w:val="22"/>
              </w:rPr>
              <w:t>a. Caricature as Catalyst</w:t>
            </w:r>
          </w:p>
        </w:tc>
      </w:tr>
      <w:tr w:rsidR="008C2B2A" w:rsidRPr="00F466D7" w14:paraId="233246D9" w14:textId="77777777" w:rsidTr="001473BD">
        <w:tc>
          <w:tcPr>
            <w:tcW w:w="558" w:type="dxa"/>
            <w:vMerge/>
            <w:shd w:val="clear" w:color="auto" w:fill="F2DBDB" w:themeFill="accent2" w:themeFillTint="33"/>
          </w:tcPr>
          <w:p w14:paraId="2CD008CB" w14:textId="77777777" w:rsidR="008C2B2A" w:rsidRPr="00F466D7" w:rsidRDefault="008C2B2A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43EE2C9C" w14:textId="39FA0B41" w:rsidR="008C2B2A" w:rsidRPr="00F466D7" w:rsidRDefault="008C2B2A" w:rsidP="008C2B2A">
            <w:pPr>
              <w:ind w:left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b. Cartoons</w:t>
            </w:r>
            <w:r w:rsidRPr="00F466D7">
              <w:rPr>
                <w:sz w:val="22"/>
                <w:szCs w:val="22"/>
              </w:rPr>
              <w:t xml:space="preserve"> as site</w:t>
            </w:r>
            <w:r>
              <w:rPr>
                <w:sz w:val="22"/>
                <w:szCs w:val="22"/>
              </w:rPr>
              <w:t xml:space="preserve">s of content expressed through </w:t>
            </w:r>
            <w:r w:rsidRPr="00F466D7">
              <w:rPr>
                <w:sz w:val="22"/>
                <w:szCs w:val="22"/>
              </w:rPr>
              <w:t>differing modalit</w:t>
            </w:r>
            <w:r w:rsidR="001473BD">
              <w:rPr>
                <w:sz w:val="22"/>
                <w:szCs w:val="22"/>
              </w:rPr>
              <w:t>ies (Cartoons /</w:t>
            </w:r>
            <w:r w:rsidRPr="00F466D7">
              <w:rPr>
                <w:sz w:val="22"/>
                <w:szCs w:val="22"/>
              </w:rPr>
              <w:t xml:space="preserve"> Content)</w:t>
            </w:r>
          </w:p>
        </w:tc>
      </w:tr>
      <w:tr w:rsidR="008C2B2A" w:rsidRPr="00F466D7" w14:paraId="6DE6D3BE" w14:textId="77777777" w:rsidTr="001473BD">
        <w:tc>
          <w:tcPr>
            <w:tcW w:w="558" w:type="dxa"/>
            <w:vMerge/>
          </w:tcPr>
          <w:p w14:paraId="282CE972" w14:textId="57640937" w:rsidR="008C2B2A" w:rsidRPr="00F466D7" w:rsidRDefault="008C2B2A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5E048172" w14:textId="22AFE07C" w:rsidR="008C2B2A" w:rsidRPr="00F466D7" w:rsidRDefault="008C2B2A" w:rsidP="008C2B2A">
            <w:pPr>
              <w:ind w:left="720"/>
              <w:rPr>
                <w:sz w:val="22"/>
                <w:szCs w:val="22"/>
              </w:rPr>
            </w:pPr>
            <w:r w:rsidRPr="00F466D7">
              <w:rPr>
                <w:sz w:val="22"/>
                <w:szCs w:val="22"/>
              </w:rPr>
              <w:t xml:space="preserve">c. </w:t>
            </w:r>
            <w:r>
              <w:rPr>
                <w:sz w:val="22"/>
                <w:szCs w:val="22"/>
              </w:rPr>
              <w:t>Cartoons</w:t>
            </w:r>
            <w:r w:rsidRPr="00F466D7">
              <w:rPr>
                <w:sz w:val="22"/>
                <w:szCs w:val="22"/>
              </w:rPr>
              <w:t xml:space="preserve"> as si</w:t>
            </w:r>
            <w:r>
              <w:rPr>
                <w:sz w:val="22"/>
                <w:szCs w:val="22"/>
              </w:rPr>
              <w:t xml:space="preserve">tes of differing heuristics or </w:t>
            </w:r>
            <w:r w:rsidRPr="00F466D7">
              <w:rPr>
                <w:sz w:val="22"/>
                <w:szCs w:val="22"/>
              </w:rPr>
              <w:t>rhetorical devices</w:t>
            </w:r>
            <w:r w:rsidRPr="00F466D7">
              <w:rPr>
                <w:color w:val="FF0000"/>
                <w:sz w:val="22"/>
                <w:szCs w:val="22"/>
              </w:rPr>
              <w:t xml:space="preserve"> </w:t>
            </w:r>
            <w:r w:rsidR="001473BD">
              <w:rPr>
                <w:sz w:val="22"/>
                <w:szCs w:val="22"/>
              </w:rPr>
              <w:t>(Cartoons /</w:t>
            </w:r>
            <w:r w:rsidRPr="00F466D7">
              <w:rPr>
                <w:sz w:val="22"/>
                <w:szCs w:val="22"/>
              </w:rPr>
              <w:t xml:space="preserve"> Images)</w:t>
            </w:r>
          </w:p>
        </w:tc>
      </w:tr>
      <w:tr w:rsidR="008C2B2A" w:rsidRPr="00F466D7" w14:paraId="39FBF767" w14:textId="77777777" w:rsidTr="001473BD">
        <w:tc>
          <w:tcPr>
            <w:tcW w:w="558" w:type="dxa"/>
            <w:vMerge/>
          </w:tcPr>
          <w:p w14:paraId="21D25906" w14:textId="77777777" w:rsidR="008C2B2A" w:rsidRPr="00F466D7" w:rsidRDefault="008C2B2A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1DAE122D" w14:textId="520EC709" w:rsidR="008C2B2A" w:rsidRPr="00F466D7" w:rsidRDefault="008C2B2A" w:rsidP="008C2B2A">
            <w:pPr>
              <w:ind w:left="720"/>
              <w:rPr>
                <w:sz w:val="22"/>
                <w:szCs w:val="22"/>
              </w:rPr>
            </w:pPr>
            <w:r w:rsidRPr="00F466D7">
              <w:rPr>
                <w:sz w:val="22"/>
                <w:szCs w:val="22"/>
              </w:rPr>
              <w:t xml:space="preserve">d. </w:t>
            </w:r>
            <w:r>
              <w:rPr>
                <w:sz w:val="22"/>
                <w:szCs w:val="22"/>
              </w:rPr>
              <w:t>Cartoons</w:t>
            </w:r>
            <w:r w:rsidRPr="00F466D7">
              <w:rPr>
                <w:sz w:val="22"/>
                <w:szCs w:val="22"/>
              </w:rPr>
              <w:t xml:space="preserve"> as sites of differing ethics/ideolog</w:t>
            </w:r>
            <w:r>
              <w:rPr>
                <w:sz w:val="22"/>
                <w:szCs w:val="22"/>
              </w:rPr>
              <w:t xml:space="preserve">ies </w:t>
            </w:r>
            <w:r w:rsidR="001473BD">
              <w:rPr>
                <w:sz w:val="22"/>
                <w:szCs w:val="22"/>
              </w:rPr>
              <w:t>(Cartoon /</w:t>
            </w:r>
            <w:r w:rsidRPr="00F466D7">
              <w:rPr>
                <w:sz w:val="22"/>
                <w:szCs w:val="22"/>
              </w:rPr>
              <w:t xml:space="preserve"> Stimulus).</w:t>
            </w:r>
          </w:p>
        </w:tc>
      </w:tr>
      <w:tr w:rsidR="001473BD" w:rsidRPr="00F466D7" w14:paraId="7AAA14E2" w14:textId="6BF35B9F" w:rsidTr="001473BD">
        <w:tc>
          <w:tcPr>
            <w:tcW w:w="558" w:type="dxa"/>
            <w:vMerge w:val="restart"/>
          </w:tcPr>
          <w:p w14:paraId="4B561E5A" w14:textId="2B76DA53" w:rsidR="001473BD" w:rsidRPr="008C2B2A" w:rsidRDefault="001473BD">
            <w:pPr>
              <w:rPr>
                <w:b/>
                <w:sz w:val="22"/>
                <w:szCs w:val="22"/>
              </w:rPr>
            </w:pPr>
            <w:r w:rsidRPr="008C2B2A">
              <w:rPr>
                <w:b/>
                <w:sz w:val="22"/>
                <w:szCs w:val="22"/>
              </w:rPr>
              <w:t>II</w:t>
            </w:r>
            <w:r>
              <w:rPr>
                <w:b/>
                <w:sz w:val="22"/>
                <w:szCs w:val="22"/>
              </w:rPr>
              <w:t>I</w:t>
            </w:r>
            <w:r w:rsidRPr="008C2B2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18" w:type="dxa"/>
          </w:tcPr>
          <w:p w14:paraId="41D74620" w14:textId="564AA471" w:rsidR="001473BD" w:rsidRPr="008C2B2A" w:rsidRDefault="001473BD" w:rsidP="008C2B2A">
            <w:pPr>
              <w:rPr>
                <w:b/>
                <w:strike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Methodological Underpinnings of </w:t>
            </w:r>
            <w:r w:rsidRPr="008C2B2A">
              <w:rPr>
                <w:b/>
                <w:sz w:val="22"/>
                <w:szCs w:val="22"/>
              </w:rPr>
              <w:t>Cro-MENDA</w:t>
            </w:r>
            <w:r w:rsidRPr="008C2B2A">
              <w:rPr>
                <w:b/>
                <w:strike/>
                <w:sz w:val="22"/>
                <w:szCs w:val="22"/>
              </w:rPr>
              <w:t xml:space="preserve"> </w:t>
            </w:r>
            <w:r w:rsidRPr="008C2B2A">
              <w:rPr>
                <w:b/>
                <w:sz w:val="22"/>
                <w:szCs w:val="22"/>
              </w:rPr>
              <w:t>as a Method of Understanding Culture through Documents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466D7">
              <w:rPr>
                <w:sz w:val="22"/>
                <w:szCs w:val="22"/>
              </w:rPr>
              <w:t>(one long or two shorter chapters</w:t>
            </w:r>
            <w:r>
              <w:rPr>
                <w:sz w:val="22"/>
                <w:szCs w:val="22"/>
              </w:rPr>
              <w:t xml:space="preserve">; </w:t>
            </w:r>
            <w:r w:rsidRPr="00F466D7">
              <w:rPr>
                <w:sz w:val="22"/>
                <w:szCs w:val="22"/>
              </w:rPr>
              <w:t>written partly retrospectively, as is appropriate to the methodology)</w:t>
            </w:r>
          </w:p>
        </w:tc>
      </w:tr>
      <w:tr w:rsidR="001473BD" w:rsidRPr="00F466D7" w14:paraId="787668A5" w14:textId="3B7834FF" w:rsidTr="001473BD">
        <w:tc>
          <w:tcPr>
            <w:tcW w:w="558" w:type="dxa"/>
            <w:vMerge/>
          </w:tcPr>
          <w:p w14:paraId="69F02B71" w14:textId="77777777" w:rsidR="001473BD" w:rsidRPr="00F466D7" w:rsidRDefault="001473BD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3DBF8C4E" w14:textId="7582F474" w:rsidR="001473BD" w:rsidRPr="00F466D7" w:rsidRDefault="001473BD" w:rsidP="009A2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Other methods of studying editorial cartoons &amp; why not use them (Lombard, et al.</w:t>
            </w:r>
            <w:r w:rsidR="00F94852">
              <w:rPr>
                <w:sz w:val="22"/>
                <w:szCs w:val="22"/>
              </w:rPr>
              <w:t>, 1999</w:t>
            </w:r>
            <w:r>
              <w:rPr>
                <w:sz w:val="22"/>
                <w:szCs w:val="22"/>
              </w:rPr>
              <w:t>; Bateman</w:t>
            </w:r>
            <w:r w:rsidR="00F94852">
              <w:rPr>
                <w:sz w:val="22"/>
                <w:szCs w:val="22"/>
              </w:rPr>
              <w:t>, 2008</w:t>
            </w:r>
            <w:r>
              <w:rPr>
                <w:sz w:val="22"/>
                <w:szCs w:val="22"/>
              </w:rPr>
              <w:t>)</w:t>
            </w:r>
          </w:p>
        </w:tc>
      </w:tr>
      <w:tr w:rsidR="001473BD" w:rsidRPr="00F466D7" w14:paraId="7040991D" w14:textId="06D992CC" w:rsidTr="001473BD">
        <w:tc>
          <w:tcPr>
            <w:tcW w:w="558" w:type="dxa"/>
            <w:vMerge/>
          </w:tcPr>
          <w:p w14:paraId="719979C0" w14:textId="77777777" w:rsidR="001473BD" w:rsidRPr="00F466D7" w:rsidRDefault="001473BD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27E0A5AD" w14:textId="3BE90602" w:rsidR="001473BD" w:rsidRPr="00F466D7" w:rsidRDefault="001473BD" w:rsidP="009A2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Considerations in developing using/developing a qualitative research method (Yin</w:t>
            </w:r>
            <w:r w:rsidR="00F94852">
              <w:rPr>
                <w:sz w:val="22"/>
                <w:szCs w:val="22"/>
              </w:rPr>
              <w:t>, 2011</w:t>
            </w:r>
            <w:r>
              <w:rPr>
                <w:sz w:val="22"/>
                <w:szCs w:val="22"/>
              </w:rPr>
              <w:t>)</w:t>
            </w:r>
          </w:p>
        </w:tc>
      </w:tr>
      <w:tr w:rsidR="001473BD" w:rsidRPr="00F466D7" w14:paraId="7B683F1F" w14:textId="30ED951B" w:rsidTr="001473BD">
        <w:tc>
          <w:tcPr>
            <w:tcW w:w="558" w:type="dxa"/>
            <w:vMerge/>
          </w:tcPr>
          <w:p w14:paraId="793EE15F" w14:textId="77777777" w:rsidR="001473BD" w:rsidRPr="00F466D7" w:rsidRDefault="001473BD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7C58F2D1" w14:textId="389A5DB3" w:rsidR="001473BD" w:rsidRPr="00EC5F9A" w:rsidRDefault="001473BD" w:rsidP="00EC5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EC5F9A">
              <w:rPr>
                <w:sz w:val="22"/>
                <w:szCs w:val="22"/>
              </w:rPr>
              <w:t>. Altheide &amp; Schneider’s (2012) Ethnographic Content Analysis</w:t>
            </w:r>
          </w:p>
        </w:tc>
      </w:tr>
      <w:tr w:rsidR="001473BD" w:rsidRPr="00F466D7" w14:paraId="71771925" w14:textId="77777777" w:rsidTr="001473BD">
        <w:tc>
          <w:tcPr>
            <w:tcW w:w="558" w:type="dxa"/>
            <w:vMerge/>
          </w:tcPr>
          <w:p w14:paraId="50CE7461" w14:textId="775F8E3C" w:rsidR="001473BD" w:rsidRPr="00F466D7" w:rsidRDefault="001473BD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1B539B3C" w14:textId="3F23BC15" w:rsidR="001473BD" w:rsidRPr="001078FD" w:rsidRDefault="001473BD" w:rsidP="001078F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Mead’s Symbolic Interaction (Blumer</w:t>
            </w:r>
            <w:r w:rsidR="006D267C">
              <w:rPr>
                <w:sz w:val="22"/>
                <w:szCs w:val="22"/>
              </w:rPr>
              <w:t>, 1973/1966</w:t>
            </w:r>
            <w:r>
              <w:rPr>
                <w:sz w:val="22"/>
                <w:szCs w:val="22"/>
              </w:rPr>
              <w:t>)</w:t>
            </w:r>
          </w:p>
        </w:tc>
      </w:tr>
      <w:tr w:rsidR="001473BD" w:rsidRPr="00F466D7" w14:paraId="4E66B007" w14:textId="77777777" w:rsidTr="001473BD">
        <w:tc>
          <w:tcPr>
            <w:tcW w:w="558" w:type="dxa"/>
            <w:vMerge/>
          </w:tcPr>
          <w:p w14:paraId="010CA42B" w14:textId="27E07AC0" w:rsidR="001473BD" w:rsidRPr="00F466D7" w:rsidRDefault="001473BD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5D02C5AF" w14:textId="58F34A58" w:rsidR="001473BD" w:rsidRPr="00EC5F9A" w:rsidRDefault="001473BD" w:rsidP="00EC5F9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C5F9A">
              <w:rPr>
                <w:sz w:val="22"/>
                <w:szCs w:val="22"/>
              </w:rPr>
              <w:t>Community journalism as process of shared meaning-making (Lowrey</w:t>
            </w:r>
            <w:r w:rsidR="006D267C">
              <w:rPr>
                <w:sz w:val="22"/>
                <w:szCs w:val="22"/>
              </w:rPr>
              <w:t>, 2008</w:t>
            </w:r>
            <w:r w:rsidRPr="00EC5F9A">
              <w:rPr>
                <w:sz w:val="22"/>
                <w:szCs w:val="22"/>
              </w:rPr>
              <w:t>)</w:t>
            </w:r>
          </w:p>
        </w:tc>
      </w:tr>
      <w:tr w:rsidR="001473BD" w:rsidRPr="00F466D7" w14:paraId="45EF3B3C" w14:textId="77777777" w:rsidTr="001473BD">
        <w:tc>
          <w:tcPr>
            <w:tcW w:w="558" w:type="dxa"/>
            <w:vMerge/>
          </w:tcPr>
          <w:p w14:paraId="48232CB2" w14:textId="77777777" w:rsidR="001473BD" w:rsidRPr="00F466D7" w:rsidRDefault="001473BD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08768594" w14:textId="05C036AE" w:rsidR="001473BD" w:rsidRPr="00EC5F9A" w:rsidRDefault="001473BD" w:rsidP="00EC5F9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 development &amp; data collection recursive, iterative, ongoing</w:t>
            </w:r>
          </w:p>
        </w:tc>
      </w:tr>
      <w:tr w:rsidR="001473BD" w:rsidRPr="00F466D7" w14:paraId="71491A5E" w14:textId="77777777" w:rsidTr="001473BD">
        <w:tc>
          <w:tcPr>
            <w:tcW w:w="558" w:type="dxa"/>
            <w:vMerge/>
          </w:tcPr>
          <w:p w14:paraId="547BDF99" w14:textId="69D1E167" w:rsidR="001473BD" w:rsidRPr="00F466D7" w:rsidRDefault="001473BD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2F3DCF5E" w14:textId="26A27B55" w:rsidR="001473BD" w:rsidRPr="00F466D7" w:rsidRDefault="001473BD" w:rsidP="009A2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Elemental considerations</w:t>
            </w:r>
          </w:p>
        </w:tc>
      </w:tr>
      <w:tr w:rsidR="001473BD" w:rsidRPr="00F466D7" w14:paraId="67326B18" w14:textId="77777777" w:rsidTr="001473BD">
        <w:tc>
          <w:tcPr>
            <w:tcW w:w="558" w:type="dxa"/>
            <w:vMerge/>
          </w:tcPr>
          <w:p w14:paraId="1C858475" w14:textId="77777777" w:rsidR="001473BD" w:rsidRPr="00F466D7" w:rsidRDefault="001473BD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49373D2B" w14:textId="18E255CD" w:rsidR="001473BD" w:rsidRPr="00EC5F9A" w:rsidRDefault="001473BD" w:rsidP="00EC5F9A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Narrative elements (visual and verbal) and narrative as method (Cudden</w:t>
            </w:r>
            <w:r w:rsidR="006D267C">
              <w:rPr>
                <w:sz w:val="22"/>
                <w:szCs w:val="22"/>
              </w:rPr>
              <w:t>, 1999</w:t>
            </w:r>
            <w:r>
              <w:rPr>
                <w:sz w:val="22"/>
                <w:szCs w:val="22"/>
              </w:rPr>
              <w:t>; Bal</w:t>
            </w:r>
            <w:r w:rsidR="00F94852">
              <w:rPr>
                <w:sz w:val="22"/>
                <w:szCs w:val="22"/>
              </w:rPr>
              <w:t xml:space="preserve"> 2009/1985</w:t>
            </w:r>
            <w:r>
              <w:rPr>
                <w:sz w:val="22"/>
                <w:szCs w:val="22"/>
              </w:rPr>
              <w:t>; Rose</w:t>
            </w:r>
            <w:r w:rsidR="00F94852">
              <w:rPr>
                <w:sz w:val="22"/>
                <w:szCs w:val="22"/>
              </w:rPr>
              <w:t>, 2012</w:t>
            </w:r>
            <w:r>
              <w:rPr>
                <w:sz w:val="22"/>
                <w:szCs w:val="22"/>
              </w:rPr>
              <w:t>)</w:t>
            </w:r>
          </w:p>
        </w:tc>
      </w:tr>
      <w:tr w:rsidR="001473BD" w:rsidRPr="00F466D7" w14:paraId="2E24888F" w14:textId="77777777" w:rsidTr="001473BD">
        <w:tc>
          <w:tcPr>
            <w:tcW w:w="558" w:type="dxa"/>
            <w:vMerge/>
          </w:tcPr>
          <w:p w14:paraId="144354B5" w14:textId="77777777" w:rsidR="001473BD" w:rsidRPr="00F466D7" w:rsidRDefault="001473BD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76156730" w14:textId="354A0217" w:rsidR="001473BD" w:rsidRPr="00EC5F9A" w:rsidRDefault="001473BD" w:rsidP="00EC5F9A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Symbiosis of artistic and literary elements (Kiefer</w:t>
            </w:r>
            <w:r w:rsidR="006D267C">
              <w:rPr>
                <w:sz w:val="22"/>
                <w:szCs w:val="22"/>
              </w:rPr>
              <w:t>, 2010</w:t>
            </w:r>
            <w:r>
              <w:rPr>
                <w:sz w:val="22"/>
                <w:szCs w:val="22"/>
              </w:rPr>
              <w:t>)</w:t>
            </w:r>
          </w:p>
        </w:tc>
      </w:tr>
      <w:tr w:rsidR="001473BD" w:rsidRPr="00F466D7" w14:paraId="21B3F05D" w14:textId="77777777" w:rsidTr="001473BD">
        <w:tc>
          <w:tcPr>
            <w:tcW w:w="558" w:type="dxa"/>
            <w:vMerge/>
          </w:tcPr>
          <w:p w14:paraId="5AD4B511" w14:textId="3A5EC646" w:rsidR="001473BD" w:rsidRPr="00F466D7" w:rsidRDefault="001473BD">
            <w:pPr>
              <w:rPr>
                <w:b/>
                <w:sz w:val="22"/>
                <w:szCs w:val="22"/>
              </w:rPr>
            </w:pPr>
          </w:p>
        </w:tc>
        <w:tc>
          <w:tcPr>
            <w:tcW w:w="9018" w:type="dxa"/>
          </w:tcPr>
          <w:p w14:paraId="2D333CE5" w14:textId="3E025125" w:rsidR="001473BD" w:rsidRPr="00EC5F9A" w:rsidRDefault="001473BD" w:rsidP="00EC5F9A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Graphic elements (Heller</w:t>
            </w:r>
            <w:r w:rsidR="00F94852">
              <w:rPr>
                <w:sz w:val="22"/>
                <w:szCs w:val="22"/>
              </w:rPr>
              <w:t>, 2002</w:t>
            </w:r>
            <w:r>
              <w:rPr>
                <w:sz w:val="22"/>
                <w:szCs w:val="22"/>
              </w:rPr>
              <w:t>)</w:t>
            </w:r>
          </w:p>
        </w:tc>
      </w:tr>
      <w:tr w:rsidR="001473BD" w:rsidRPr="00F466D7" w14:paraId="67C14BDC" w14:textId="77777777" w:rsidTr="001473BD">
        <w:tc>
          <w:tcPr>
            <w:tcW w:w="558" w:type="dxa"/>
            <w:vMerge/>
          </w:tcPr>
          <w:p w14:paraId="2FF11E87" w14:textId="77777777" w:rsidR="001473BD" w:rsidRPr="00F466D7" w:rsidRDefault="001473BD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502CF509" w14:textId="7E5B8AA2" w:rsidR="001473BD" w:rsidRPr="00EC5F9A" w:rsidRDefault="001473BD" w:rsidP="00EC5F9A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Elements of humor (Tsakona</w:t>
            </w:r>
            <w:r w:rsidR="00F94852">
              <w:rPr>
                <w:sz w:val="22"/>
                <w:szCs w:val="22"/>
              </w:rPr>
              <w:t>, 2009</w:t>
            </w:r>
            <w:r>
              <w:rPr>
                <w:sz w:val="22"/>
                <w:szCs w:val="22"/>
              </w:rPr>
              <w:t>; Cudden</w:t>
            </w:r>
            <w:r w:rsidR="006D267C">
              <w:rPr>
                <w:sz w:val="22"/>
                <w:szCs w:val="22"/>
              </w:rPr>
              <w:t>, 1999</w:t>
            </w:r>
            <w:r>
              <w:rPr>
                <w:sz w:val="22"/>
                <w:szCs w:val="22"/>
              </w:rPr>
              <w:t>)</w:t>
            </w:r>
          </w:p>
        </w:tc>
      </w:tr>
      <w:tr w:rsidR="001473BD" w:rsidRPr="00F466D7" w14:paraId="263C7093" w14:textId="77777777" w:rsidTr="001473BD">
        <w:tc>
          <w:tcPr>
            <w:tcW w:w="558" w:type="dxa"/>
            <w:vMerge/>
          </w:tcPr>
          <w:p w14:paraId="7D881ED8" w14:textId="77777777" w:rsidR="001473BD" w:rsidRPr="00F466D7" w:rsidRDefault="001473BD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6A144232" w14:textId="30D1C8E7" w:rsidR="001473BD" w:rsidRPr="00F466D7" w:rsidRDefault="001473BD" w:rsidP="009A2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Rodriguez &amp; Dimitrova’s (2011) Four Levels of Visual Framing</w:t>
            </w:r>
          </w:p>
        </w:tc>
      </w:tr>
      <w:tr w:rsidR="001473BD" w:rsidRPr="00F466D7" w14:paraId="19DE706D" w14:textId="77777777" w:rsidTr="001473BD">
        <w:tc>
          <w:tcPr>
            <w:tcW w:w="558" w:type="dxa"/>
            <w:vMerge/>
          </w:tcPr>
          <w:p w14:paraId="77B78D44" w14:textId="77777777" w:rsidR="001473BD" w:rsidRPr="00F466D7" w:rsidRDefault="001473BD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57B3700C" w14:textId="18C65D41" w:rsidR="001473BD" w:rsidRPr="001473BD" w:rsidRDefault="001473BD" w:rsidP="001473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3BD">
              <w:rPr>
                <w:sz w:val="22"/>
                <w:szCs w:val="22"/>
              </w:rPr>
              <w:t>Denotati</w:t>
            </w:r>
            <w:r>
              <w:rPr>
                <w:sz w:val="22"/>
                <w:szCs w:val="22"/>
              </w:rPr>
              <w:t>ve</w:t>
            </w:r>
          </w:p>
        </w:tc>
      </w:tr>
      <w:tr w:rsidR="001473BD" w:rsidRPr="00F466D7" w14:paraId="7D3B6990" w14:textId="77777777" w:rsidTr="001473BD">
        <w:tc>
          <w:tcPr>
            <w:tcW w:w="558" w:type="dxa"/>
            <w:vMerge/>
          </w:tcPr>
          <w:p w14:paraId="058BC6F0" w14:textId="77777777" w:rsidR="001473BD" w:rsidRPr="00F466D7" w:rsidRDefault="001473BD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5E5BA7A6" w14:textId="6FF93F24" w:rsidR="001473BD" w:rsidRPr="001473BD" w:rsidRDefault="001473BD" w:rsidP="001473BD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Stylistic</w:t>
            </w:r>
          </w:p>
        </w:tc>
      </w:tr>
      <w:tr w:rsidR="001473BD" w:rsidRPr="00F466D7" w14:paraId="0B73793C" w14:textId="77777777" w:rsidTr="001473BD">
        <w:tc>
          <w:tcPr>
            <w:tcW w:w="558" w:type="dxa"/>
            <w:vMerge/>
          </w:tcPr>
          <w:p w14:paraId="6B4DA67B" w14:textId="77777777" w:rsidR="001473BD" w:rsidRPr="00F466D7" w:rsidRDefault="001473BD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1CF8AF8D" w14:textId="11AFE728" w:rsidR="001473BD" w:rsidRPr="001473BD" w:rsidRDefault="001473BD" w:rsidP="001473BD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Connotative</w:t>
            </w:r>
          </w:p>
        </w:tc>
      </w:tr>
      <w:tr w:rsidR="001473BD" w:rsidRPr="00F466D7" w14:paraId="18BC698C" w14:textId="77777777" w:rsidTr="001473BD">
        <w:tc>
          <w:tcPr>
            <w:tcW w:w="558" w:type="dxa"/>
            <w:vMerge/>
          </w:tcPr>
          <w:p w14:paraId="67FEB16F" w14:textId="77777777" w:rsidR="001473BD" w:rsidRPr="00F466D7" w:rsidRDefault="001473BD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30E9E9D5" w14:textId="39967681" w:rsidR="001473BD" w:rsidRPr="001473BD" w:rsidRDefault="001473BD" w:rsidP="001473BD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Ideological stance and shaping </w:t>
            </w:r>
          </w:p>
        </w:tc>
      </w:tr>
      <w:tr w:rsidR="00C53028" w:rsidRPr="00F466D7" w14:paraId="13503CDF" w14:textId="77777777" w:rsidTr="001473BD">
        <w:tc>
          <w:tcPr>
            <w:tcW w:w="558" w:type="dxa"/>
            <w:vMerge w:val="restart"/>
          </w:tcPr>
          <w:p w14:paraId="0F29D92F" w14:textId="569F1FC0" w:rsidR="00C53028" w:rsidRPr="00C2084A" w:rsidRDefault="00C53028">
            <w:pPr>
              <w:rPr>
                <w:b/>
                <w:sz w:val="22"/>
                <w:szCs w:val="22"/>
              </w:rPr>
            </w:pPr>
            <w:r w:rsidRPr="00C2084A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9018" w:type="dxa"/>
          </w:tcPr>
          <w:p w14:paraId="537D91D3" w14:textId="1E953A64" w:rsidR="00C53028" w:rsidRPr="00C2084A" w:rsidRDefault="00C53028" w:rsidP="00C047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Demonstration: Cro-MENDA</w:t>
            </w:r>
            <w:r w:rsidRPr="00C2084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applied to</w:t>
            </w:r>
            <w:r w:rsidRPr="00C2084A">
              <w:rPr>
                <w:b/>
                <w:sz w:val="22"/>
                <w:szCs w:val="22"/>
              </w:rPr>
              <w:t xml:space="preserve"> one cartoon</w:t>
            </w:r>
            <w:r>
              <w:rPr>
                <w:b/>
                <w:sz w:val="22"/>
                <w:szCs w:val="22"/>
              </w:rPr>
              <w:t>,</w:t>
            </w:r>
            <w:r w:rsidRPr="00C2084A">
              <w:rPr>
                <w:b/>
                <w:sz w:val="22"/>
                <w:szCs w:val="22"/>
              </w:rPr>
              <w:t xml:space="preserve"> in detail</w:t>
            </w:r>
            <w:r>
              <w:rPr>
                <w:b/>
                <w:sz w:val="22"/>
                <w:szCs w:val="22"/>
              </w:rPr>
              <w:t xml:space="preserve"> and with metacognitive narrative </w:t>
            </w:r>
          </w:p>
        </w:tc>
      </w:tr>
      <w:tr w:rsidR="00C53028" w:rsidRPr="00F466D7" w14:paraId="27E42653" w14:textId="77777777" w:rsidTr="001473BD">
        <w:tc>
          <w:tcPr>
            <w:tcW w:w="558" w:type="dxa"/>
            <w:vMerge/>
          </w:tcPr>
          <w:p w14:paraId="083BFC19" w14:textId="77777777" w:rsidR="00C53028" w:rsidRPr="00F466D7" w:rsidRDefault="00C53028">
            <w:pPr>
              <w:rPr>
                <w:sz w:val="22"/>
                <w:szCs w:val="22"/>
              </w:rPr>
            </w:pPr>
          </w:p>
        </w:tc>
        <w:tc>
          <w:tcPr>
            <w:tcW w:w="9018" w:type="dxa"/>
          </w:tcPr>
          <w:p w14:paraId="004310B2" w14:textId="3D636B59" w:rsidR="00C53028" w:rsidRPr="00C2084A" w:rsidRDefault="00C53028" w:rsidP="009A266D">
            <w:pPr>
              <w:rPr>
                <w:sz w:val="22"/>
                <w:szCs w:val="22"/>
              </w:rPr>
            </w:pPr>
            <w:r w:rsidRPr="00C2084A">
              <w:rPr>
                <w:sz w:val="22"/>
                <w:szCs w:val="22"/>
              </w:rPr>
              <w:t xml:space="preserve">This cannot be outlined, but I will provide a metacognitive narrative of my processes as I </w:t>
            </w:r>
            <w:r>
              <w:rPr>
                <w:sz w:val="22"/>
                <w:szCs w:val="22"/>
              </w:rPr>
              <w:t xml:space="preserve">use the bases of Altheide and Schneider’s (2012) ECA to </w:t>
            </w:r>
            <w:r w:rsidRPr="00C2084A">
              <w:rPr>
                <w:sz w:val="22"/>
                <w:szCs w:val="22"/>
              </w:rPr>
              <w:t xml:space="preserve">describe the narrative, </w:t>
            </w:r>
            <w:r>
              <w:rPr>
                <w:sz w:val="22"/>
                <w:szCs w:val="22"/>
              </w:rPr>
              <w:t xml:space="preserve">use Rodriguez and Dimitrova’s (2011) FLVF to </w:t>
            </w:r>
            <w:r w:rsidRPr="00C2084A">
              <w:rPr>
                <w:sz w:val="22"/>
                <w:szCs w:val="22"/>
              </w:rPr>
              <w:t>determine the topic, theme, and frame, and</w:t>
            </w:r>
            <w:r>
              <w:rPr>
                <w:sz w:val="22"/>
                <w:szCs w:val="22"/>
              </w:rPr>
              <w:t xml:space="preserve"> then use Morris (2009) and Navasky (2013) to</w:t>
            </w:r>
            <w:r w:rsidRPr="00C2084A">
              <w:rPr>
                <w:sz w:val="22"/>
                <w:szCs w:val="22"/>
              </w:rPr>
              <w:t xml:space="preserve"> discuss the cartoonist’s ideological stance and how this cartoon attempts to shape discourse. </w:t>
            </w:r>
          </w:p>
        </w:tc>
      </w:tr>
      <w:tr w:rsidR="00EC5F9A" w:rsidRPr="00F466D7" w14:paraId="6DBF6CB5" w14:textId="77777777" w:rsidTr="001473BD">
        <w:tc>
          <w:tcPr>
            <w:tcW w:w="558" w:type="dxa"/>
          </w:tcPr>
          <w:p w14:paraId="0F18EB17" w14:textId="2FD06E8B" w:rsidR="00EC5F9A" w:rsidRPr="00C04705" w:rsidRDefault="00C04705">
            <w:pPr>
              <w:rPr>
                <w:b/>
                <w:sz w:val="22"/>
                <w:szCs w:val="22"/>
              </w:rPr>
            </w:pPr>
            <w:r w:rsidRPr="00C04705">
              <w:rPr>
                <w:b/>
                <w:sz w:val="22"/>
                <w:szCs w:val="22"/>
              </w:rPr>
              <w:t xml:space="preserve">V. </w:t>
            </w:r>
          </w:p>
        </w:tc>
        <w:tc>
          <w:tcPr>
            <w:tcW w:w="9018" w:type="dxa"/>
          </w:tcPr>
          <w:p w14:paraId="49FF99E3" w14:textId="792B719F" w:rsidR="00EC5F9A" w:rsidRPr="00F466D7" w:rsidRDefault="00C53028" w:rsidP="00C530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Discussion of the six cartoons analyzed (CRO-Menda and a body of texts); implications for applying Cro-MENDA to other cross-modal texts; Other findings/conclusions</w:t>
            </w:r>
          </w:p>
        </w:tc>
      </w:tr>
      <w:tr w:rsidR="00C53028" w:rsidRPr="00F466D7" w14:paraId="040B5D7A" w14:textId="77777777" w:rsidTr="001473BD">
        <w:tc>
          <w:tcPr>
            <w:tcW w:w="558" w:type="dxa"/>
          </w:tcPr>
          <w:p w14:paraId="1922722B" w14:textId="4DA50755" w:rsidR="00C53028" w:rsidRPr="00C04705" w:rsidRDefault="00C530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</w:t>
            </w:r>
            <w:r w:rsidR="00FD29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18" w:type="dxa"/>
          </w:tcPr>
          <w:p w14:paraId="5982A546" w14:textId="5613B8CA" w:rsidR="00C53028" w:rsidRDefault="00C53028" w:rsidP="009A26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Discussion of the process of </w:t>
            </w:r>
            <w:r w:rsidR="00FD29B2">
              <w:rPr>
                <w:b/>
                <w:sz w:val="22"/>
                <w:szCs w:val="22"/>
              </w:rPr>
              <w:t>creating a method</w:t>
            </w:r>
          </w:p>
        </w:tc>
      </w:tr>
      <w:tr w:rsidR="00C53028" w:rsidRPr="00F466D7" w14:paraId="2D173655" w14:textId="77777777" w:rsidTr="001473BD">
        <w:tc>
          <w:tcPr>
            <w:tcW w:w="558" w:type="dxa"/>
          </w:tcPr>
          <w:p w14:paraId="430DCC24" w14:textId="77777777" w:rsidR="00C53028" w:rsidRPr="00C04705" w:rsidRDefault="00C53028">
            <w:pPr>
              <w:rPr>
                <w:b/>
                <w:sz w:val="22"/>
                <w:szCs w:val="22"/>
              </w:rPr>
            </w:pPr>
          </w:p>
        </w:tc>
        <w:tc>
          <w:tcPr>
            <w:tcW w:w="9018" w:type="dxa"/>
          </w:tcPr>
          <w:p w14:paraId="035D4B1C" w14:textId="77777777" w:rsidR="00C53028" w:rsidRDefault="00C53028" w:rsidP="009A266D">
            <w:pPr>
              <w:rPr>
                <w:b/>
                <w:sz w:val="22"/>
                <w:szCs w:val="22"/>
              </w:rPr>
            </w:pPr>
          </w:p>
        </w:tc>
      </w:tr>
      <w:tr w:rsidR="00C53028" w:rsidRPr="00F466D7" w14:paraId="5612E27E" w14:textId="77777777" w:rsidTr="001473BD">
        <w:tc>
          <w:tcPr>
            <w:tcW w:w="558" w:type="dxa"/>
          </w:tcPr>
          <w:p w14:paraId="536E92C5" w14:textId="77777777" w:rsidR="00C53028" w:rsidRPr="00C04705" w:rsidRDefault="00C53028">
            <w:pPr>
              <w:rPr>
                <w:b/>
                <w:sz w:val="22"/>
                <w:szCs w:val="22"/>
              </w:rPr>
            </w:pPr>
          </w:p>
        </w:tc>
        <w:tc>
          <w:tcPr>
            <w:tcW w:w="9018" w:type="dxa"/>
          </w:tcPr>
          <w:p w14:paraId="54016F2D" w14:textId="77777777" w:rsidR="00C53028" w:rsidRDefault="00C53028" w:rsidP="009A266D">
            <w:pPr>
              <w:rPr>
                <w:b/>
                <w:sz w:val="22"/>
                <w:szCs w:val="22"/>
              </w:rPr>
            </w:pPr>
          </w:p>
        </w:tc>
      </w:tr>
    </w:tbl>
    <w:p w14:paraId="6BEC03B7" w14:textId="77777777" w:rsidR="006B6112" w:rsidRDefault="006B6112"/>
    <w:p w14:paraId="066D47BD" w14:textId="77777777" w:rsidR="001857CA" w:rsidRDefault="001857CA"/>
    <w:p w14:paraId="38533165" w14:textId="77777777" w:rsidR="001857CA" w:rsidRDefault="001857CA"/>
    <w:p w14:paraId="764ACA6E" w14:textId="77777777" w:rsidR="008C2B2A" w:rsidRDefault="008C2B2A" w:rsidP="005538D7"/>
    <w:sectPr w:rsidR="008C2B2A" w:rsidSect="005C7CBD">
      <w:headerReference w:type="even" r:id="rId9"/>
      <w:headerReference w:type="default" r:id="rId10"/>
      <w:pgSz w:w="12240" w:h="15840"/>
      <w:pgMar w:top="1440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02AB0" w14:textId="77777777" w:rsidR="00333F90" w:rsidRDefault="00333F90" w:rsidP="000365C7">
      <w:r>
        <w:separator/>
      </w:r>
    </w:p>
  </w:endnote>
  <w:endnote w:type="continuationSeparator" w:id="0">
    <w:p w14:paraId="51396772" w14:textId="77777777" w:rsidR="00333F90" w:rsidRDefault="00333F90" w:rsidP="0003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0DEF9" w14:textId="77777777" w:rsidR="00333F90" w:rsidRDefault="00333F90" w:rsidP="000365C7">
      <w:r>
        <w:separator/>
      </w:r>
    </w:p>
  </w:footnote>
  <w:footnote w:type="continuationSeparator" w:id="0">
    <w:p w14:paraId="6CE3BAF7" w14:textId="77777777" w:rsidR="00333F90" w:rsidRDefault="00333F90" w:rsidP="000365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8E7BA" w14:textId="77777777" w:rsidR="00333F90" w:rsidRDefault="00333F90" w:rsidP="00F30C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117B56" w14:textId="77777777" w:rsidR="00333F90" w:rsidRDefault="00333F90" w:rsidP="000365C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E98F3" w14:textId="77777777" w:rsidR="00333F90" w:rsidRDefault="00333F90" w:rsidP="00F30C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73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453032" w14:textId="0BFF2F9A" w:rsidR="00333F90" w:rsidRDefault="00333F90" w:rsidP="000365C7">
    <w:pPr>
      <w:pStyle w:val="Header"/>
      <w:ind w:right="360"/>
    </w:pPr>
    <w:r>
      <w:t>Anderson / Updated Dissertation Outline / October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C2E"/>
    <w:multiLevelType w:val="hybridMultilevel"/>
    <w:tmpl w:val="54467A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C1F5B"/>
    <w:multiLevelType w:val="hybridMultilevel"/>
    <w:tmpl w:val="06F67C64"/>
    <w:lvl w:ilvl="0" w:tplc="8CC6E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D4391"/>
    <w:multiLevelType w:val="hybridMultilevel"/>
    <w:tmpl w:val="934C5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F96DF7"/>
    <w:multiLevelType w:val="hybridMultilevel"/>
    <w:tmpl w:val="568A3CDA"/>
    <w:lvl w:ilvl="0" w:tplc="F9FE4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E02C8"/>
    <w:multiLevelType w:val="hybridMultilevel"/>
    <w:tmpl w:val="6CBCF88A"/>
    <w:lvl w:ilvl="0" w:tplc="F9FE4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232D4"/>
    <w:multiLevelType w:val="hybridMultilevel"/>
    <w:tmpl w:val="36F01610"/>
    <w:lvl w:ilvl="0" w:tplc="F9FE4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14B2D"/>
    <w:multiLevelType w:val="hybridMultilevel"/>
    <w:tmpl w:val="CA4A0A98"/>
    <w:lvl w:ilvl="0" w:tplc="DBE67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614A0"/>
    <w:multiLevelType w:val="hybridMultilevel"/>
    <w:tmpl w:val="D0E21DC2"/>
    <w:lvl w:ilvl="0" w:tplc="DBE67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B7D30"/>
    <w:multiLevelType w:val="hybridMultilevel"/>
    <w:tmpl w:val="54467A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FD0D7E"/>
    <w:multiLevelType w:val="hybridMultilevel"/>
    <w:tmpl w:val="8A52065A"/>
    <w:lvl w:ilvl="0" w:tplc="DBE67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C36D0"/>
    <w:multiLevelType w:val="hybridMultilevel"/>
    <w:tmpl w:val="586C8184"/>
    <w:lvl w:ilvl="0" w:tplc="DBE67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F3CCE"/>
    <w:multiLevelType w:val="hybridMultilevel"/>
    <w:tmpl w:val="6186C29C"/>
    <w:lvl w:ilvl="0" w:tplc="DC60E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D39F1"/>
    <w:multiLevelType w:val="hybridMultilevel"/>
    <w:tmpl w:val="6CBCF88A"/>
    <w:lvl w:ilvl="0" w:tplc="F9FE4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77"/>
    <w:rsid w:val="000365C7"/>
    <w:rsid w:val="000860C1"/>
    <w:rsid w:val="000C2EA8"/>
    <w:rsid w:val="001006C8"/>
    <w:rsid w:val="001078FD"/>
    <w:rsid w:val="001108E6"/>
    <w:rsid w:val="00136BD5"/>
    <w:rsid w:val="001473BD"/>
    <w:rsid w:val="001568CD"/>
    <w:rsid w:val="00160091"/>
    <w:rsid w:val="001857CA"/>
    <w:rsid w:val="001A15CD"/>
    <w:rsid w:val="001A5687"/>
    <w:rsid w:val="001B1482"/>
    <w:rsid w:val="001D4531"/>
    <w:rsid w:val="00201516"/>
    <w:rsid w:val="002953B5"/>
    <w:rsid w:val="00297365"/>
    <w:rsid w:val="002A0855"/>
    <w:rsid w:val="002C46CB"/>
    <w:rsid w:val="002C53D1"/>
    <w:rsid w:val="002C6FD4"/>
    <w:rsid w:val="002E5BC8"/>
    <w:rsid w:val="00333F90"/>
    <w:rsid w:val="00376C12"/>
    <w:rsid w:val="00380167"/>
    <w:rsid w:val="00383276"/>
    <w:rsid w:val="003B3647"/>
    <w:rsid w:val="003D0A4F"/>
    <w:rsid w:val="003D0EC3"/>
    <w:rsid w:val="003E1C2D"/>
    <w:rsid w:val="003F5E2A"/>
    <w:rsid w:val="00436768"/>
    <w:rsid w:val="00473D0A"/>
    <w:rsid w:val="004B06DE"/>
    <w:rsid w:val="004C1256"/>
    <w:rsid w:val="005203E4"/>
    <w:rsid w:val="005374C7"/>
    <w:rsid w:val="005538D7"/>
    <w:rsid w:val="005673D2"/>
    <w:rsid w:val="005B1131"/>
    <w:rsid w:val="005C7CBD"/>
    <w:rsid w:val="00654C98"/>
    <w:rsid w:val="006602B6"/>
    <w:rsid w:val="00660C8E"/>
    <w:rsid w:val="006814EB"/>
    <w:rsid w:val="006B6112"/>
    <w:rsid w:val="006D267C"/>
    <w:rsid w:val="0072518C"/>
    <w:rsid w:val="00730412"/>
    <w:rsid w:val="00754040"/>
    <w:rsid w:val="00754096"/>
    <w:rsid w:val="007543E6"/>
    <w:rsid w:val="00754405"/>
    <w:rsid w:val="00764313"/>
    <w:rsid w:val="007A7AB7"/>
    <w:rsid w:val="007B0528"/>
    <w:rsid w:val="00844ED6"/>
    <w:rsid w:val="008743DE"/>
    <w:rsid w:val="0088730A"/>
    <w:rsid w:val="00887D80"/>
    <w:rsid w:val="00896D66"/>
    <w:rsid w:val="008C2B2A"/>
    <w:rsid w:val="008C7F12"/>
    <w:rsid w:val="008E7FA5"/>
    <w:rsid w:val="00975AF2"/>
    <w:rsid w:val="00987F07"/>
    <w:rsid w:val="009A13A2"/>
    <w:rsid w:val="009A266D"/>
    <w:rsid w:val="009A5894"/>
    <w:rsid w:val="009B2577"/>
    <w:rsid w:val="009B3992"/>
    <w:rsid w:val="009B53E5"/>
    <w:rsid w:val="009C2C1B"/>
    <w:rsid w:val="009E4A1D"/>
    <w:rsid w:val="009E505C"/>
    <w:rsid w:val="00A07DDD"/>
    <w:rsid w:val="00A12D77"/>
    <w:rsid w:val="00A703B2"/>
    <w:rsid w:val="00A82DB4"/>
    <w:rsid w:val="00A83015"/>
    <w:rsid w:val="00AD1846"/>
    <w:rsid w:val="00AF697A"/>
    <w:rsid w:val="00B154D8"/>
    <w:rsid w:val="00B21D6E"/>
    <w:rsid w:val="00B3255D"/>
    <w:rsid w:val="00B50D56"/>
    <w:rsid w:val="00B64F82"/>
    <w:rsid w:val="00BA3BE6"/>
    <w:rsid w:val="00BB3DBB"/>
    <w:rsid w:val="00BC450C"/>
    <w:rsid w:val="00BF4DD6"/>
    <w:rsid w:val="00BF5F3D"/>
    <w:rsid w:val="00C04705"/>
    <w:rsid w:val="00C171AE"/>
    <w:rsid w:val="00C17C5E"/>
    <w:rsid w:val="00C2084A"/>
    <w:rsid w:val="00C511B1"/>
    <w:rsid w:val="00C53028"/>
    <w:rsid w:val="00C94B89"/>
    <w:rsid w:val="00D11CC1"/>
    <w:rsid w:val="00D278AB"/>
    <w:rsid w:val="00D84EE9"/>
    <w:rsid w:val="00DC3D01"/>
    <w:rsid w:val="00DF7D21"/>
    <w:rsid w:val="00E844B4"/>
    <w:rsid w:val="00EC5F9A"/>
    <w:rsid w:val="00F30C38"/>
    <w:rsid w:val="00F36D68"/>
    <w:rsid w:val="00F42B50"/>
    <w:rsid w:val="00F466D7"/>
    <w:rsid w:val="00F7068A"/>
    <w:rsid w:val="00F94852"/>
    <w:rsid w:val="00FB2DB9"/>
    <w:rsid w:val="00FC2745"/>
    <w:rsid w:val="00FC5938"/>
    <w:rsid w:val="00FD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9541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D77"/>
    <w:pPr>
      <w:ind w:left="720"/>
      <w:contextualSpacing/>
    </w:pPr>
  </w:style>
  <w:style w:type="table" w:styleId="TableGrid">
    <w:name w:val="Table Grid"/>
    <w:basedOn w:val="TableNormal"/>
    <w:uiPriority w:val="59"/>
    <w:rsid w:val="006B6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65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5C7"/>
  </w:style>
  <w:style w:type="paragraph" w:styleId="Footer">
    <w:name w:val="footer"/>
    <w:basedOn w:val="Normal"/>
    <w:link w:val="FooterChar"/>
    <w:uiPriority w:val="99"/>
    <w:unhideWhenUsed/>
    <w:rsid w:val="000365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5C7"/>
  </w:style>
  <w:style w:type="character" w:styleId="PageNumber">
    <w:name w:val="page number"/>
    <w:basedOn w:val="DefaultParagraphFont"/>
    <w:uiPriority w:val="99"/>
    <w:semiHidden/>
    <w:unhideWhenUsed/>
    <w:rsid w:val="000365C7"/>
  </w:style>
  <w:style w:type="character" w:customStyle="1" w:styleId="tgc">
    <w:name w:val="_tgc"/>
    <w:basedOn w:val="DefaultParagraphFont"/>
    <w:rsid w:val="008E7F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D77"/>
    <w:pPr>
      <w:ind w:left="720"/>
      <w:contextualSpacing/>
    </w:pPr>
  </w:style>
  <w:style w:type="table" w:styleId="TableGrid">
    <w:name w:val="Table Grid"/>
    <w:basedOn w:val="TableNormal"/>
    <w:uiPriority w:val="59"/>
    <w:rsid w:val="006B6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65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5C7"/>
  </w:style>
  <w:style w:type="paragraph" w:styleId="Footer">
    <w:name w:val="footer"/>
    <w:basedOn w:val="Normal"/>
    <w:link w:val="FooterChar"/>
    <w:uiPriority w:val="99"/>
    <w:unhideWhenUsed/>
    <w:rsid w:val="000365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5C7"/>
  </w:style>
  <w:style w:type="character" w:styleId="PageNumber">
    <w:name w:val="page number"/>
    <w:basedOn w:val="DefaultParagraphFont"/>
    <w:uiPriority w:val="99"/>
    <w:semiHidden/>
    <w:unhideWhenUsed/>
    <w:rsid w:val="000365C7"/>
  </w:style>
  <w:style w:type="character" w:customStyle="1" w:styleId="tgc">
    <w:name w:val="_tgc"/>
    <w:basedOn w:val="DefaultParagraphFont"/>
    <w:rsid w:val="008E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DCAC48-48BC-3249-A532-A41E4647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832</Words>
  <Characters>4745</Characters>
  <Application>Microsoft Macintosh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Anderson</dc:creator>
  <cp:keywords/>
  <dc:description/>
  <cp:lastModifiedBy>Anne Anderson</cp:lastModifiedBy>
  <cp:revision>6</cp:revision>
  <cp:lastPrinted>2014-04-01T00:13:00Z</cp:lastPrinted>
  <dcterms:created xsi:type="dcterms:W3CDTF">2016-10-22T14:56:00Z</dcterms:created>
  <dcterms:modified xsi:type="dcterms:W3CDTF">2016-12-10T20:39:00Z</dcterms:modified>
</cp:coreProperties>
</file>